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69E" w:rsidP="170C9ACB" w:rsidRDefault="0064669E" w14:paraId="712E73AC" w14:textId="77777777">
      <w:pPr>
        <w:pStyle w:val="paragraph"/>
        <w:spacing w:before="0" w:beforeAutospacing="off" w:after="0" w:afterAutospacing="off"/>
        <w:textAlignment w:val="baseline"/>
        <w:rPr>
          <w:rFonts w:ascii="Gill Sans MT" w:hAnsi="Gill Sans MT" w:eastAsia="Gill Sans MT" w:cs="Gill Sans MT"/>
          <w:sz w:val="24"/>
          <w:szCs w:val="24"/>
        </w:rPr>
      </w:pPr>
      <w:r w:rsidRPr="170C9ACB" w:rsidR="0064669E">
        <w:rPr>
          <w:rStyle w:val="normaltextrun"/>
          <w:rFonts w:ascii="Gill Sans MT" w:hAnsi="Gill Sans MT" w:eastAsia="Gill Sans MT" w:cs="Gill Sans MT"/>
          <w:b w:val="1"/>
          <w:bCs w:val="1"/>
          <w:color w:val="000000" w:themeColor="text1" w:themeTint="FF" w:themeShade="FF"/>
          <w:sz w:val="24"/>
          <w:szCs w:val="24"/>
          <w:u w:val="single"/>
        </w:rPr>
        <w:t>Scenario:</w:t>
      </w:r>
      <w:r w:rsidRPr="170C9ACB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 </w:t>
      </w:r>
      <w:r w:rsidRPr="170C9ACB" w:rsidR="0064669E"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 </w:t>
      </w:r>
    </w:p>
    <w:p w:rsidR="008D1A4C" w:rsidP="170C9ACB" w:rsidRDefault="008D1A4C" w14:paraId="3F8D8DF2" w14:textId="5331061D">
      <w:pPr>
        <w:pStyle w:val="paragraph"/>
        <w:spacing w:before="0" w:beforeAutospacing="off" w:after="0" w:afterAutospacing="off"/>
        <w:textAlignment w:val="baseline"/>
        <w:rPr>
          <w:rStyle w:val="eop"/>
          <w:rFonts w:ascii="Gill Sans MT" w:hAnsi="Gill Sans MT" w:eastAsia="Gill Sans MT" w:cs="Gill Sans MT"/>
          <w:color w:val="000000"/>
          <w:sz w:val="24"/>
          <w:szCs w:val="24"/>
        </w:rPr>
      </w:pP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You have bee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n hired as an external consultant for </w:t>
      </w:r>
      <w:proofErr w:type="spellStart"/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Futrall</w:t>
      </w:r>
      <w:proofErr w:type="spellEnd"/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-Carnall (FC) and Stadium. FC is a mid-size technology firm with 250 employees based in Houston, Texas,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established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in 2005. Stadium is a marketing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firm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established in 2000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headquartered in Mexico City. The two companies have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recently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partnered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in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a joint venture on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new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software. All interactions between the offices will be done digitally through email, video calls, and other forms of electronic communication. </w:t>
      </w:r>
    </w:p>
    <w:p w:rsidR="008D1A4C" w:rsidP="170C9ACB" w:rsidRDefault="008D1A4C" w14:paraId="611E9530" w14:textId="024F2E08">
      <w:pPr>
        <w:pStyle w:val="paragraph"/>
        <w:spacing w:before="0" w:beforeAutospacing="off" w:after="0" w:afterAutospacing="off"/>
        <w:textAlignment w:val="baseline"/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</w:p>
    <w:p w:rsidRPr="008D1A4C" w:rsidR="008D1A4C" w:rsidP="170C9ACB" w:rsidRDefault="008D1A4C" w14:paraId="26E45629" w14:textId="4EC09CB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FC and Stadium have been collaborating for six months now and both companies have noticed there have been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consistent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problems with miscommunication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regarding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decision-making that is 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causing them</w:t>
      </w:r>
      <w:r w:rsidRPr="26A368D5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to miss internal deadlines.</w:t>
      </w:r>
    </w:p>
    <w:p w:rsidR="26A368D5" w:rsidP="26A368D5" w:rsidRDefault="26A368D5" w14:paraId="02304D9D" w14:textId="4B98A199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8D1A4C" w:rsidR="008D1A4C" w:rsidP="170C9ACB" w:rsidRDefault="008D1A4C" w14:paraId="4D8BC035" w14:textId="1C4E03D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For example, after an important video call meeting, the Stadium representative—who is used to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c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lear chains of communication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—was left confuse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d.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Here is an excerpt of the meeting transcript:</w:t>
      </w:r>
    </w:p>
    <w:p w:rsidRPr="008D1A4C" w:rsidR="008D1A4C" w:rsidP="57718337" w:rsidRDefault="008D1A4C" w14:paraId="18A8CE4C" w14:textId="75D99EC6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w:rsidRPr="008D1A4C" w:rsidR="008D1A4C" w:rsidP="57718337" w:rsidRDefault="008D1A4C" w14:paraId="0F6A2B4D" w14:textId="12D0F6A2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FC rep: If everyone would please turn to the final page of your packet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,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y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ou’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ll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see the rundown of the costs (etc.) are there any questions?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</w:p>
    <w:p w:rsidRPr="008D1A4C" w:rsidR="008D1A4C" w:rsidP="57718337" w:rsidRDefault="008D1A4C" w14:paraId="4FFED49C" w14:textId="02D02249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Stadium rep: raises hand, speaks: </w:t>
      </w:r>
      <w:proofErr w:type="gramStart"/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so</w:t>
      </w:r>
      <w:proofErr w:type="gramEnd"/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who did we decide is going to lead this work group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?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</w:p>
    <w:p w:rsidRPr="008D1A4C" w:rsidR="008D1A4C" w:rsidP="57718337" w:rsidRDefault="008D1A4C" w14:paraId="76637CF4" w14:textId="0BE23B77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FC rep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: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I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’m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sor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ry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?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</w:p>
    <w:p w:rsidRPr="008D1A4C" w:rsidR="008D1A4C" w:rsidP="57718337" w:rsidRDefault="008D1A4C" w14:paraId="732921DB" w14:textId="1DB20682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Stadium rep: The work group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, I never heard who is going to lead it.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</w:p>
    <w:p w:rsidRPr="008D1A4C" w:rsidR="008D1A4C" w:rsidP="57718337" w:rsidRDefault="008D1A4C" w14:paraId="6498DA28" w14:textId="216E51FA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FC rep: Um, tha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wasn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’t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on the agenda for today but we…what do we think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?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Let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's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bring it up in a b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it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.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</w:t>
      </w:r>
    </w:p>
    <w:p w:rsidRPr="008D1A4C" w:rsidR="008D1A4C" w:rsidP="57718337" w:rsidRDefault="008D1A4C" w14:paraId="5FA4DC1C" w14:textId="19FF4358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Stadium rep: so, do I talk to you about it 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or..</w:t>
      </w: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.</w:t>
      </w:r>
    </w:p>
    <w:p w:rsidRPr="008D1A4C" w:rsidR="008D1A4C" w:rsidP="57718337" w:rsidRDefault="008D1A4C" w14:paraId="476A38FB" w14:textId="004086E4">
      <w:pPr>
        <w:spacing w:before="0" w:beforeAutospacing="off" w:after="0" w:afterAutospacing="off"/>
        <w:ind w:left="720"/>
        <w:textAlignment w:val="baseline"/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18337" w:rsidR="48508BFF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[Zoom gives notice meeting will end in five minutes]</w:t>
      </w:r>
    </w:p>
    <w:p w:rsidR="170C9ACB" w:rsidP="57718337" w:rsidRDefault="170C9ACB" w14:paraId="2EEA8BEE" w14:textId="11B58169">
      <w:pPr>
        <w:pStyle w:val="Normal"/>
        <w:spacing w:before="0" w:beforeAutospacing="off" w:after="0" w:afterAutospacing="off"/>
        <w:ind w:left="720"/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7718337" w:rsidR="170C9ACB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FC rep: Since we only have five minutes, </w:t>
      </w:r>
      <w:r w:rsidRPr="57718337" w:rsidR="170C9ACB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let’s</w:t>
      </w:r>
      <w:r w:rsidRPr="57718337" w:rsidR="170C9ACB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wrap up our </w:t>
      </w:r>
      <w:r w:rsidRPr="57718337" w:rsidR="170C9ACB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>previous</w:t>
      </w:r>
      <w:r w:rsidRPr="57718337" w:rsidR="170C9ACB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discussion…</w:t>
      </w:r>
    </w:p>
    <w:p w:rsidR="170C9ACB" w:rsidP="170C9ACB" w:rsidRDefault="170C9ACB" w14:paraId="74D25C79" w14:textId="2E5D143D">
      <w:pPr>
        <w:pStyle w:val="Normal"/>
        <w:spacing w:before="0" w:beforeAutospacing="off" w:after="0" w:afterAutospacing="off"/>
        <w:ind w:left="720"/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333333"/>
          <w:sz w:val="24"/>
          <w:szCs w:val="24"/>
          <w:highlight w:val="yellow"/>
          <w:lang w:val="en-US"/>
        </w:rPr>
      </w:pPr>
    </w:p>
    <w:p w:rsidR="008D1A4C" w:rsidP="170C9ACB" w:rsidRDefault="008D1A4C" w14:paraId="6DF3AFB5" w14:textId="7EA22A3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eastAsia="Gill Sans MT" w:cs="Gill Sans MT"/>
          <w:color w:val="000000"/>
          <w:sz w:val="24"/>
          <w:szCs w:val="24"/>
        </w:rPr>
      </w:pP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The Stadium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representative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left the meeting confused about who the contact person should be and worried that without organized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roles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the project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progress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would not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m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eet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the established deadlines for a successful rollout. Several American FC employees did not understand the need for a formal contact person since they were all working on the same team. Some FC employees also noticed that Stadium employees did not speak up when brainstorming in groups.</w:t>
      </w:r>
    </w:p>
    <w:p w:rsidR="57718337" w:rsidP="57718337" w:rsidRDefault="57718337" w14:paraId="385EC3E1" w14:textId="41BD9404">
      <w:pPr>
        <w:pStyle w:val="paragraph"/>
        <w:spacing w:before="0" w:beforeAutospacing="off" w:after="0" w:afterAutospacing="off"/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</w:p>
    <w:p w:rsidR="008D1A4C" w:rsidP="170C9ACB" w:rsidRDefault="008D1A4C" w14:paraId="38A8B129" w14:textId="6792027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eastAsia="Gill Sans MT" w:cs="Gill Sans MT"/>
          <w:color w:val="000000"/>
          <w:sz w:val="24"/>
          <w:szCs w:val="24"/>
        </w:rPr>
      </w:pP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To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avoid missing the rollout deadline,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FC and Stadium has hired you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as a consultant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to help them figure out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what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potential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cultural barriers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might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prevent</w:t>
      </w:r>
      <w:r w:rsidRPr="57718337" w:rsidR="008D1A4C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the two companies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from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collaborating successfully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in a workgroup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.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Specifically, Stadium and FC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have asked you to help them understand the disconnect and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ex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plain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the best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way to address this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disconnect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at their next meeting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, so that they can comfortably move forward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on the software project.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Stadium and FC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are both excited to work together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and want to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m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aintain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strong relations for new software development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partnerships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. </w:t>
      </w:r>
      <w:r w:rsidRPr="57718337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You have scheduled a meeting with both companies to present your findings and suggestions.</w:t>
      </w:r>
    </w:p>
    <w:p w:rsidR="0064669E" w:rsidP="170C9ACB" w:rsidRDefault="0064669E" w14:paraId="2D0ED591" w14:textId="0A456AD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</w:p>
    <w:p w:rsidR="0064669E" w:rsidP="26A368D5" w:rsidRDefault="0064669E" w14:paraId="2D23F19F" w14:textId="4CCBD41B">
      <w:pPr>
        <w:pStyle w:val="paragraph"/>
        <w:spacing w:before="0" w:beforeAutospacing="off" w:after="0" w:afterAutospacing="off"/>
        <w:textAlignment w:val="baseline"/>
        <w:rPr>
          <w:rFonts w:ascii="Gill Sans MT" w:hAnsi="Gill Sans MT" w:eastAsia="Gill Sans MT" w:cs="Gill Sans MT"/>
          <w:i w:val="1"/>
          <w:iCs w:val="1"/>
          <w:sz w:val="24"/>
          <w:szCs w:val="24"/>
        </w:rPr>
      </w:pPr>
      <w:r w:rsidRPr="26A368D5" w:rsidR="0064669E">
        <w:rPr>
          <w:rStyle w:val="normaltextrun"/>
          <w:rFonts w:ascii="Gill Sans MT" w:hAnsi="Gill Sans MT" w:eastAsia="Gill Sans MT" w:cs="Gill Sans MT"/>
          <w:i w:val="1"/>
          <w:iCs w:val="1"/>
          <w:color w:val="000000" w:themeColor="text1" w:themeTint="FF" w:themeShade="FF"/>
          <w:sz w:val="24"/>
          <w:szCs w:val="24"/>
        </w:rPr>
        <w:t xml:space="preserve">Some questions to consider when making </w:t>
      </w:r>
      <w:r w:rsidRPr="26A368D5" w:rsidR="0064669E">
        <w:rPr>
          <w:rStyle w:val="normaltextrun"/>
          <w:rFonts w:ascii="Gill Sans MT" w:hAnsi="Gill Sans MT" w:eastAsia="Gill Sans MT" w:cs="Gill Sans MT"/>
          <w:i w:val="1"/>
          <w:iCs w:val="1"/>
          <w:color w:val="000000" w:themeColor="text1" w:themeTint="FF" w:themeShade="FF"/>
          <w:sz w:val="24"/>
          <w:szCs w:val="24"/>
        </w:rPr>
        <w:t>recommendations</w:t>
      </w:r>
      <w:r w:rsidRPr="26A368D5" w:rsidR="0064669E">
        <w:rPr>
          <w:rStyle w:val="normaltextrun"/>
          <w:rFonts w:ascii="Gill Sans MT" w:hAnsi="Gill Sans MT" w:eastAsia="Gill Sans MT" w:cs="Gill Sans MT"/>
          <w:i w:val="1"/>
          <w:iCs w:val="1"/>
          <w:color w:val="000000" w:themeColor="text1" w:themeTint="FF" w:themeShade="FF"/>
          <w:sz w:val="24"/>
          <w:szCs w:val="24"/>
        </w:rPr>
        <w:t>: </w:t>
      </w:r>
      <w:r w:rsidRPr="26A368D5" w:rsidR="0064669E">
        <w:rPr>
          <w:rStyle w:val="eop"/>
          <w:rFonts w:ascii="Gill Sans MT" w:hAnsi="Gill Sans MT" w:eastAsia="Gill Sans MT" w:cs="Gill Sans MT"/>
          <w:i w:val="1"/>
          <w:iCs w:val="1"/>
          <w:color w:val="000000" w:themeColor="text1" w:themeTint="FF" w:themeShade="FF"/>
          <w:sz w:val="24"/>
          <w:szCs w:val="24"/>
        </w:rPr>
        <w:t> </w:t>
      </w:r>
    </w:p>
    <w:p w:rsidR="48508BFF" w:rsidP="170C9ACB" w:rsidRDefault="48508BFF" w14:paraId="79FCBB64" w14:textId="5EACEFF8">
      <w:pPr>
        <w:pStyle w:val="paragraph"/>
        <w:spacing w:before="0" w:beforeAutospacing="off" w:after="0" w:afterAutospacing="off"/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  <w:r w:rsidRPr="170C9ACB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What </w:t>
      </w:r>
      <w:r w:rsidRPr="170C9ACB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are</w:t>
      </w:r>
      <w:r w:rsidRPr="170C9ACB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the leadership styles (</w:t>
      </w:r>
      <w:r w:rsidRPr="170C9ACB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egalitarian versus hierarchical) </w:t>
      </w:r>
      <w:r w:rsidRPr="170C9ACB" w:rsidR="48508BFF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in these various cultures?</w:t>
      </w:r>
    </w:p>
    <w:p w:rsidR="0064669E" w:rsidP="170C9ACB" w:rsidRDefault="0064669E" w14:paraId="2E814334" w14:textId="010C2F5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For future meetings, w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hat type of communi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cation 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solutions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should FC and Stadium do you propose to two companies of 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different cultures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that have different approaches to workflow and chain of command?</w:t>
      </w:r>
    </w:p>
    <w:p w:rsidR="0064669E" w:rsidP="26A368D5" w:rsidRDefault="0064669E" w14:paraId="6C4C1C46" w14:textId="0EF028FD">
      <w:pPr>
        <w:pStyle w:val="paragraph"/>
        <w:spacing w:before="0" w:beforeAutospacing="off" w:after="0" w:afterAutospacing="off"/>
        <w:textAlignment w:val="baseline"/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  <w:r w:rsidRPr="26A368D5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How do Stadium and FC ensure strong relational ties</w:t>
      </w:r>
      <w:r w:rsidRPr="26A368D5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while addressing these miscommunications?</w:t>
      </w:r>
    </w:p>
    <w:p w:rsidR="0064669E" w:rsidP="170C9ACB" w:rsidRDefault="0064669E" w14:paraId="3EE59913" w14:textId="77777777">
      <w:pPr>
        <w:pStyle w:val="paragraph"/>
        <w:spacing w:before="0" w:beforeAutospacing="off" w:after="0" w:afterAutospacing="off"/>
        <w:textAlignment w:val="baseline"/>
        <w:rPr>
          <w:rFonts w:ascii="Gill Sans MT" w:hAnsi="Gill Sans MT" w:eastAsia="Gill Sans MT" w:cs="Gill Sans MT"/>
          <w:sz w:val="24"/>
          <w:szCs w:val="24"/>
        </w:rPr>
      </w:pPr>
      <w:r w:rsidRPr="170C9ACB" w:rsidR="0064669E"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 </w:t>
      </w:r>
    </w:p>
    <w:p w:rsidR="0064669E" w:rsidP="170C9ACB" w:rsidRDefault="0064669E" w14:paraId="092E3A42" w14:textId="7A20113C">
      <w:pPr>
        <w:pStyle w:val="paragraph"/>
        <w:spacing w:before="0" w:beforeAutospacing="off" w:after="0" w:afterAutospacing="off"/>
        <w:textAlignment w:val="baseline"/>
        <w:rPr>
          <w:rFonts w:ascii="Gill Sans MT" w:hAnsi="Gill Sans MT" w:eastAsia="Gill Sans MT" w:cs="Gill Sans MT"/>
          <w:sz w:val="24"/>
          <w:szCs w:val="24"/>
        </w:rPr>
      </w:pPr>
      <w:r w:rsidRPr="57718337" w:rsidR="0064669E">
        <w:rPr>
          <w:rStyle w:val="normaltextrun"/>
          <w:rFonts w:ascii="Gill Sans MT" w:hAnsi="Gill Sans MT" w:eastAsia="Gill Sans MT" w:cs="Gill Sans MT"/>
          <w:b w:val="1"/>
          <w:bCs w:val="1"/>
          <w:color w:val="000000" w:themeColor="text1" w:themeTint="FF" w:themeShade="FF"/>
          <w:sz w:val="24"/>
          <w:szCs w:val="24"/>
        </w:rPr>
        <w:t xml:space="preserve">Your task: 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Compose a 2-page, single-spaced, 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12-point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 font, business brief providing Stadium and FC with two recommendations 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for working together on this venture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 xml:space="preserve">. Since you are a consultant, be mindful of your tone; you should </w:t>
      </w:r>
      <w:r w:rsidRPr="57718337" w:rsidR="0064669E">
        <w:rPr>
          <w:rStyle w:val="normaltextrun"/>
          <w:rFonts w:ascii="Gill Sans MT" w:hAnsi="Gill Sans MT" w:eastAsia="Gill Sans MT" w:cs="Gill Sans MT"/>
          <w:b w:val="1"/>
          <w:bCs w:val="1"/>
          <w:color w:val="000000" w:themeColor="text1" w:themeTint="FF" w:themeShade="FF"/>
          <w:sz w:val="24"/>
          <w:szCs w:val="24"/>
        </w:rPr>
        <w:t>recommend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, not dictate action.</w:t>
      </w:r>
      <w:r w:rsidRPr="57718337" w:rsidR="0064669E">
        <w:rPr>
          <w:rStyle w:val="normaltextrun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  </w:t>
      </w:r>
      <w:r w:rsidRPr="57718337" w:rsidR="0064669E"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 </w:t>
      </w:r>
    </w:p>
    <w:p w:rsidR="0064669E" w:rsidP="26A368D5" w:rsidRDefault="0064669E" w14:paraId="20DF9B33" w14:textId="52342678">
      <w:pPr>
        <w:pStyle w:val="paragraph"/>
        <w:spacing w:before="0" w:beforeAutospacing="off" w:after="0" w:afterAutospacing="off"/>
        <w:textAlignment w:val="baseline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64669E" w:rsidP="26A368D5" w:rsidRDefault="0064669E" w14:paraId="1690C1D8" w14:textId="58B55686">
      <w:pPr>
        <w:spacing w:before="0" w:beforeAutospacing="off" w:after="0" w:afterAutospacing="off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A368D5" w:rsidR="170C9ACB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Note: </w:t>
      </w:r>
      <w:r w:rsidRPr="26A368D5" w:rsidR="170C9ACB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will need to cite 4 different sources in APA on your references page. Your </w:t>
      </w:r>
      <w:bookmarkStart w:name="_Int_oBD7B2jR" w:id="1361903477"/>
      <w:r w:rsidRPr="26A368D5" w:rsidR="170C9ACB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references page</w:t>
      </w:r>
      <w:bookmarkEnd w:id="1361903477"/>
      <w:r w:rsidRPr="26A368D5" w:rsidR="170C9ACB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not count towards the 2-page requirement. When citing sources, use parenthetical citations (see </w:t>
      </w:r>
      <w:r w:rsidRPr="26A368D5" w:rsidR="170C9ACB">
        <w:rPr>
          <w:rFonts w:ascii="Gill Sans MT" w:hAnsi="Gill Sans MT" w:eastAsia="Gill Sans MT" w:cs="Gill Sans M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Publication Manual of APA</w:t>
      </w:r>
      <w:r w:rsidRPr="26A368D5" w:rsidR="170C9ACB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6.11-21), not footnotes. The readings cited below are all in APA format but remove the hyperlinks when you cite.</w:t>
      </w:r>
    </w:p>
    <w:p w:rsidR="0064669E" w:rsidP="170C9ACB" w:rsidRDefault="0064669E" w14:paraId="1EDD1813" w14:textId="4B47872D">
      <w:pPr>
        <w:pStyle w:val="paragraph"/>
        <w:spacing w:before="0" w:beforeAutospacing="off" w:after="0" w:afterAutospacing="off"/>
        <w:textAlignment w:val="baseline"/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</w:p>
    <w:p w:rsidR="0064669E" w:rsidP="170C9ACB" w:rsidRDefault="0064669E" w14:paraId="4D7DACF9" w14:textId="46ABC4D9">
      <w:pPr>
        <w:pStyle w:val="paragraph"/>
        <w:spacing w:before="0" w:beforeAutospacing="off" w:after="0" w:afterAutospacing="off"/>
        <w:textAlignment w:val="baseline"/>
        <w:rPr>
          <w:rStyle w:val="eop"/>
          <w:rFonts w:ascii="Gill Sans MT" w:hAnsi="Gill Sans MT" w:eastAsia="Gill Sans MT" w:cs="Gill Sans MT"/>
          <w:color w:val="000000"/>
          <w:sz w:val="24"/>
          <w:szCs w:val="24"/>
        </w:rPr>
      </w:pPr>
      <w:r w:rsidRPr="170C9ACB" w:rsidR="0064669E"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  <w:t> </w:t>
      </w:r>
    </w:p>
    <w:p w:rsidR="00692878" w:rsidP="76B013F8" w:rsidRDefault="00692878" w14:paraId="7EB2F377" w14:textId="483B3FC4">
      <w:pPr>
        <w:spacing w:before="0" w:beforeAutospacing="off" w:after="160" w:afterAutospacing="off" w:line="360" w:lineRule="auto"/>
        <w:textAlignment w:val="baseline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B013F8" w:rsidR="202CE919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Readings that will help you form your recommendations:</w:t>
      </w:r>
    </w:p>
    <w:p w:rsidR="170C9ACB" w:rsidP="52125793" w:rsidRDefault="170C9ACB" w14:paraId="17E57085" w14:textId="23E83907">
      <w:pPr>
        <w:pStyle w:val="paragraph"/>
        <w:numPr>
          <w:ilvl w:val="0"/>
          <w:numId w:val="5"/>
        </w:numPr>
        <w:spacing w:before="0" w:beforeAutospacing="off" w:after="0" w:afterAutospacing="off"/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2125793" w:rsidR="6E5570D5">
        <w:rPr>
          <w:rStyle w:val="eop"/>
          <w:rFonts w:ascii="Gill Sans MT" w:hAnsi="Gill Sans MT" w:eastAsia="Gill Sans MT" w:cs="Gill Sans MT"/>
          <w:b w:val="0"/>
          <w:bCs w:val="0"/>
          <w:color w:val="000000" w:themeColor="text1" w:themeTint="FF" w:themeShade="FF"/>
          <w:sz w:val="24"/>
          <w:szCs w:val="24"/>
        </w:rPr>
        <w:t xml:space="preserve">We </w:t>
      </w:r>
      <w:r w:rsidRPr="52125793" w:rsidR="6E5570D5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strongly</w:t>
      </w:r>
      <w:r w:rsidRPr="52125793" w:rsidR="6E5570D5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52125793" w:rsidR="6E5570D5">
        <w:rPr>
          <w:rStyle w:val="eop"/>
          <w:rFonts w:ascii="Gill Sans MT" w:hAnsi="Gill Sans MT" w:eastAsia="Gill Sans MT" w:cs="Gill Sans MT"/>
          <w:b w:val="0"/>
          <w:bCs w:val="0"/>
          <w:color w:val="000000" w:themeColor="text1" w:themeTint="FF" w:themeShade="FF"/>
          <w:sz w:val="24"/>
          <w:szCs w:val="24"/>
        </w:rPr>
        <w:t xml:space="preserve">recommend reading Erin Meyer’s </w:t>
      </w:r>
      <w:r w:rsidRPr="52125793" w:rsidR="6E5570D5">
        <w:rPr>
          <w:rStyle w:val="eop"/>
          <w:rFonts w:ascii="Gill Sans MT" w:hAnsi="Gill Sans MT" w:eastAsia="Gill Sans MT" w:cs="Gill Sans MT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 xml:space="preserve">The Culture Map </w:t>
      </w:r>
      <w:r w:rsidRPr="52125793" w:rsidR="6E5570D5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(2014) pgs. 125-132. (You can access this text through our university library at </w:t>
      </w:r>
      <w:hyperlink r:id="R7fae3abe4e5248b0">
        <w:r w:rsidRPr="52125793" w:rsidR="5AE745FE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sz w:val="24"/>
            <w:szCs w:val="24"/>
          </w:rPr>
          <w:t>https://libraries.uark.edu/</w:t>
        </w:r>
      </w:hyperlink>
      <w:r w:rsidRPr="52125793" w:rsidR="5AE745FE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). </w:t>
      </w:r>
    </w:p>
    <w:p w:rsidR="5BE6D06B" w:rsidP="5BE6D06B" w:rsidRDefault="5BE6D06B" w14:paraId="2367D0A5" w14:textId="2346E9AB">
      <w:pPr>
        <w:pStyle w:val="paragraph"/>
        <w:spacing w:before="0" w:beforeAutospacing="off" w:after="0" w:afterAutospacing="off"/>
        <w:rPr>
          <w:rStyle w:val="eop"/>
          <w:rFonts w:ascii="Gill Sans MT" w:hAnsi="Gill Sans MT" w:eastAsia="Gill Sans MT" w:cs="Gill Sans MT"/>
          <w:i w:val="0"/>
          <w:iCs w:val="0"/>
          <w:color w:val="000000" w:themeColor="text1" w:themeTint="FF" w:themeShade="FF"/>
          <w:sz w:val="24"/>
          <w:szCs w:val="24"/>
        </w:rPr>
      </w:pPr>
    </w:p>
    <w:p w:rsidR="170C9ACB" w:rsidP="2F6D65C2" w:rsidRDefault="170C9ACB" w14:paraId="3D7DEC47" w14:textId="61D599B0">
      <w:pPr>
        <w:pStyle w:val="paragraph"/>
        <w:spacing w:before="0" w:beforeAutospacing="off" w:after="0" w:afterAutospacing="off"/>
        <w:ind w:left="0"/>
        <w:rPr>
          <w:rStyle w:val="eop"/>
          <w:rFonts w:ascii="Gill Sans MT" w:hAnsi="Gill Sans MT" w:eastAsia="Gill Sans MT" w:cs="Gill Sans MT"/>
          <w:i w:val="1"/>
          <w:iCs w:val="1"/>
          <w:color w:val="000000" w:themeColor="text1" w:themeTint="FF" w:themeShade="FF"/>
          <w:sz w:val="24"/>
          <w:szCs w:val="24"/>
        </w:rPr>
      </w:pPr>
      <w:r w:rsidRPr="2F6D65C2" w:rsidR="7169421C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2F6D65C2" w:rsidR="7169421C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single"/>
        </w:rPr>
        <w:t>Note</w:t>
      </w:r>
      <w:r w:rsidRPr="2F6D65C2" w:rsidR="7169421C"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: Sources with an asterisk (*) only recommend specific sections/chapters of the text. The citations will indicate which portion we suggest.</w:t>
      </w:r>
    </w:p>
    <w:p w:rsidR="52125793" w:rsidP="52125793" w:rsidRDefault="52125793" w14:paraId="6C36C958" w14:textId="5F92DDEB">
      <w:pPr>
        <w:pStyle w:val="paragraph"/>
        <w:spacing w:before="0" w:beforeAutospacing="off" w:after="0" w:afterAutospacing="off"/>
        <w:ind w:left="0"/>
        <w:rPr>
          <w:rStyle w:val="eop"/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</w:p>
    <w:p w:rsidR="5EA06716" w:rsidP="5EA06716" w:rsidRDefault="5EA06716" w14:paraId="185B9650" w14:textId="74C1BEB1">
      <w:pPr>
        <w:pStyle w:val="paragraph"/>
        <w:spacing w:before="0" w:beforeAutospacing="off" w:after="0" w:afterAutospacing="off"/>
        <w:rPr>
          <w:rStyle w:val="eop"/>
          <w:rFonts w:ascii="Gill Sans MT" w:hAnsi="Gill Sans MT" w:eastAsia="Gill Sans MT" w:cs="Gill Sans MT"/>
          <w:color w:val="000000" w:themeColor="text1" w:themeTint="FF" w:themeShade="FF"/>
          <w:sz w:val="24"/>
          <w:szCs w:val="24"/>
        </w:rPr>
      </w:pPr>
    </w:p>
    <w:p w:rsidR="202CE919" w:rsidP="52125793" w:rsidRDefault="202CE919" w14:paraId="5B0FDC0C" w14:textId="498317E2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Alpert, R.T. (</w:t>
      </w: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n.d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).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Cultural diversity in the wor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kplace, part I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D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iversity Resources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  <w:hyperlink r:id="R250d0a00abc94656">
        <w:r w:rsidRPr="2F6D65C2" w:rsidR="6434A8BA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https://www.diversityresources.com/cultural-diversity-workplace/</w:t>
        </w:r>
      </w:hyperlink>
    </w:p>
    <w:p w:rsidR="52125793" w:rsidP="52125793" w:rsidRDefault="52125793" w14:paraId="62F6E72B" w14:textId="430A1F9B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00692878" w:rsidP="52125793" w:rsidRDefault="00692878" w14:paraId="2285DD0C" w14:textId="687FCC72">
      <w:pPr>
        <w:pStyle w:val="Normal"/>
        <w:bidi w:val="0"/>
        <w:spacing w:before="0" w:beforeAutospacing="off" w:after="0" w:afterAutospacing="off" w:line="240" w:lineRule="auto"/>
        <w:ind w:left="720" w:right="0" w:hanging="720"/>
        <w:jc w:val="left"/>
        <w:rPr>
          <w:rFonts w:ascii="Gill Sans MT" w:hAnsi="Gill Sans MT" w:eastAsia="Gill Sans MT" w:cs="Gill Sans MT"/>
          <w:noProof w:val="0"/>
          <w:lang w:val="en-US"/>
        </w:rPr>
      </w:pP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Cagiltay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, K., Bichelmeyer, B., &amp; Kaplan </w:t>
      </w: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Akillli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, G. (2015).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Working with multicultural virtual teams: Critical factors for facili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tation,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satisfaction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and success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.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Smart Learning Environments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,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2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(11), 1-16. </w:t>
      </w:r>
      <w:hyperlink r:id="R628a29d43b03449b">
        <w:r w:rsidRPr="2F6D65C2" w:rsidR="6434A8BA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https://doi.org/10.1186/s40561-015-0018-7</w:t>
        </w:r>
      </w:hyperlink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 </w:t>
      </w:r>
    </w:p>
    <w:p w:rsidR="52125793" w:rsidP="52125793" w:rsidRDefault="52125793" w14:paraId="592CC1AB" w14:textId="0B80E7AD">
      <w:pPr>
        <w:pStyle w:val="Normal"/>
        <w:bidi w:val="0"/>
        <w:spacing w:before="0" w:beforeAutospacing="off" w:after="0" w:afterAutospacing="off" w:line="240" w:lineRule="auto"/>
        <w:ind w:left="720" w:right="0" w:hanging="720"/>
        <w:jc w:val="left"/>
        <w:rPr>
          <w:rFonts w:ascii="Gill Sans MT" w:hAnsi="Gill Sans MT" w:eastAsia="Gill Sans MT" w:cs="Gill Sans MT"/>
          <w:noProof w:val="0"/>
          <w:lang w:val="en-US"/>
        </w:rPr>
      </w:pPr>
    </w:p>
    <w:p w:rsidR="00692878" w:rsidP="52125793" w:rsidRDefault="00692878" w14:paraId="2BD14F49" w14:textId="1569ACDD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Gavin, Ma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tt. (2019, May 16).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6 Tips for managing global &amp; international teams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Harvard Business School Online. </w:t>
      </w:r>
      <w:r w:rsidRPr="2F6D65C2" w:rsidR="6434A8BA">
        <w:rPr>
          <w:rStyle w:val="Hyperlink"/>
          <w:rFonts w:ascii="Gill Sans MT" w:hAnsi="Gill Sans MT" w:eastAsia="Gill Sans MT" w:cs="Gill Sans MT"/>
          <w:noProof w:val="0"/>
          <w:lang w:val="en-US"/>
        </w:rPr>
        <w:t>https://online.hbs.edu/blog/post/how-to-manage-global-teams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</w:p>
    <w:p w:rsidR="52125793" w:rsidP="52125793" w:rsidRDefault="52125793" w14:paraId="71104CE8" w14:textId="4384210D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57718337" w:rsidP="52125793" w:rsidRDefault="57718337" w14:paraId="72323A6B" w14:textId="6A2DFED7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12FBD67A">
        <w:rPr>
          <w:rFonts w:ascii="Gill Sans MT" w:hAnsi="Gill Sans MT" w:eastAsia="Gill Sans MT" w:cs="Gill Sans MT"/>
          <w:noProof w:val="0"/>
          <w:lang w:val="en-US"/>
        </w:rPr>
        <w:t xml:space="preserve">*Goodman, M. B. (2013). Introduction. In </w:t>
      </w:r>
      <w:r w:rsidRPr="2F6D65C2" w:rsidR="12FBD67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Intercultural communication for managers</w:t>
      </w:r>
      <w:r w:rsidRPr="2F6D65C2" w:rsidR="12FBD67A">
        <w:rPr>
          <w:rFonts w:ascii="Gill Sans MT" w:hAnsi="Gill Sans MT" w:eastAsia="Gill Sans MT" w:cs="Gill Sans MT"/>
          <w:noProof w:val="0"/>
          <w:lang w:val="en-US"/>
        </w:rPr>
        <w:t xml:space="preserve"> (</w:t>
      </w:r>
      <w:r w:rsidRPr="2F6D65C2" w:rsidR="12FBD67A">
        <w:rPr>
          <w:rFonts w:ascii="Gill Sans MT" w:hAnsi="Gill Sans MT" w:eastAsia="Gill Sans MT" w:cs="Gill Sans MT"/>
          <w:noProof w:val="0"/>
          <w:lang w:val="en-US"/>
        </w:rPr>
        <w:t xml:space="preserve">1st ed., pp. </w:t>
      </w:r>
      <w:r w:rsidRPr="2F6D65C2" w:rsidR="12FBD67A">
        <w:rPr>
          <w:rFonts w:ascii="Gill Sans MT" w:hAnsi="Gill Sans MT" w:eastAsia="Gill Sans MT" w:cs="Gill Sans MT"/>
          <w:noProof w:val="0"/>
          <w:lang w:val="en-US"/>
        </w:rPr>
        <w:t>xix-xxix</w:t>
      </w:r>
      <w:r w:rsidRPr="2F6D65C2" w:rsidR="12FBD67A">
        <w:rPr>
          <w:rFonts w:ascii="Gill Sans MT" w:hAnsi="Gill Sans MT" w:eastAsia="Gill Sans MT" w:cs="Gill Sans MT"/>
          <w:noProof w:val="0"/>
          <w:lang w:val="en-US"/>
        </w:rPr>
        <w:t xml:space="preserve">). Business Expert Press. </w:t>
      </w:r>
      <w:hyperlink r:id="Rb60d34788116472a">
        <w:r w:rsidRPr="2F6D65C2" w:rsidR="12FBD67A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https://search.proquest.com/legacydocview/EBC/1365265/bookReader?accountid=8361&amp;ppg=20</w:t>
        </w:r>
      </w:hyperlink>
    </w:p>
    <w:p w:rsidR="52125793" w:rsidP="52125793" w:rsidRDefault="52125793" w14:paraId="49C5E8C9" w14:textId="31D9F2DD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3BDB37C6" w:rsidP="52125793" w:rsidRDefault="3BDB37C6" w14:paraId="1EC0B6D2" w14:textId="1562EA70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484C7A08" w:rsidR="3FF8E5A2">
        <w:rPr>
          <w:rFonts w:ascii="Gill Sans MT" w:hAnsi="Gill Sans MT" w:eastAsia="Gill Sans MT" w:cs="Gill Sans MT"/>
          <w:noProof w:val="0"/>
          <w:lang w:val="en-US"/>
        </w:rPr>
        <w:t xml:space="preserve">*Hernandez-Pozas, O., Kelm., &amp; Victor, D.A (2020). The </w:t>
      </w:r>
      <w:r w:rsidRPr="484C7A08" w:rsidR="3FF8E5A2">
        <w:rPr>
          <w:rFonts w:ascii="Gill Sans MT" w:hAnsi="Gill Sans MT" w:eastAsia="Gill Sans MT" w:cs="Gill Sans MT"/>
          <w:noProof w:val="0"/>
          <w:lang w:val="en-US"/>
        </w:rPr>
        <w:t>mexican</w:t>
      </w:r>
      <w:r w:rsidRPr="484C7A08" w:rsidR="3FF8E5A2">
        <w:rPr>
          <w:rFonts w:ascii="Gill Sans MT" w:hAnsi="Gill Sans MT" w:eastAsia="Gill Sans MT" w:cs="Gill Sans MT"/>
          <w:noProof w:val="0"/>
          <w:lang w:val="en-US"/>
        </w:rPr>
        <w:t xml:space="preserve"> authority conception: Power is always personalized. In </w:t>
      </w:r>
      <w:r w:rsidRPr="484C7A08" w:rsidR="3FF8E5A2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The Seven Keys to Communicating in Mexico: An Intercultural Approach</w:t>
      </w:r>
      <w:r w:rsidRPr="484C7A08" w:rsidR="3FF8E5A2">
        <w:rPr>
          <w:rFonts w:ascii="Gill Sans MT" w:hAnsi="Gill Sans MT" w:eastAsia="Gill Sans MT" w:cs="Gill Sans MT"/>
          <w:noProof w:val="0"/>
          <w:lang w:val="en-US"/>
        </w:rPr>
        <w:t xml:space="preserve"> (pp.121-148). Georgetown University Press. </w:t>
      </w:r>
      <w:hyperlink r:id="Rffa8d5f4ab914551">
        <w:r w:rsidRPr="484C7A08" w:rsidR="3FF8E5A2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https://doi.org/10.2307/j.ctvswx8wb.11</w:t>
        </w:r>
      </w:hyperlink>
      <w:r w:rsidRPr="484C7A08" w:rsidR="3FF8E5A2">
        <w:rPr>
          <w:rFonts w:ascii="Gill Sans MT" w:hAnsi="Gill Sans MT" w:eastAsia="Gill Sans MT" w:cs="Gill Sans MT"/>
          <w:noProof w:val="0"/>
          <w:lang w:val="en-US"/>
        </w:rPr>
        <w:t xml:space="preserve"> </w:t>
      </w:r>
    </w:p>
    <w:p w:rsidR="52125793" w:rsidP="52125793" w:rsidRDefault="52125793" w14:paraId="752F1926" w14:textId="3446BAF7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3BDB37C6" w:rsidP="52125793" w:rsidRDefault="3BDB37C6" w14:paraId="3030D36C" w14:textId="01C7FD92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3FF8E5A2">
        <w:rPr>
          <w:rFonts w:ascii="Gill Sans MT" w:hAnsi="Gill Sans MT" w:eastAsia="Gill Sans MT" w:cs="Gill Sans MT"/>
          <w:noProof w:val="0"/>
          <w:lang w:val="en-US"/>
        </w:rPr>
        <w:t>*</w:t>
      </w:r>
      <w:r w:rsidRPr="2F6D65C2" w:rsidR="3FF8E5A2">
        <w:rPr>
          <w:rFonts w:ascii="Gill Sans MT" w:hAnsi="Gill Sans MT" w:eastAsia="Gill Sans MT" w:cs="Gill Sans MT"/>
          <w:noProof w:val="0"/>
          <w:lang w:val="en-US"/>
        </w:rPr>
        <w:t>Hyatt, J.T.</w:t>
      </w:r>
      <w:r w:rsidRPr="2F6D65C2" w:rsidR="3FF8E5A2">
        <w:rPr>
          <w:rFonts w:ascii="Gill Sans MT" w:hAnsi="Gill Sans MT" w:eastAsia="Gill Sans MT" w:cs="Gill Sans MT"/>
          <w:noProof w:val="0"/>
          <w:lang w:val="en-US"/>
        </w:rPr>
        <w:t xml:space="preserve"> (2016). Communication in </w:t>
      </w:r>
      <w:proofErr w:type="spellStart"/>
      <w:r w:rsidRPr="2F6D65C2" w:rsidR="3FF8E5A2">
        <w:rPr>
          <w:rFonts w:ascii="Gill Sans MT" w:hAnsi="Gill Sans MT" w:eastAsia="Gill Sans MT" w:cs="Gill Sans MT"/>
          <w:noProof w:val="0"/>
          <w:lang w:val="en-US"/>
        </w:rPr>
        <w:t>mexican</w:t>
      </w:r>
      <w:proofErr w:type="spellEnd"/>
      <w:r w:rsidRPr="2F6D65C2" w:rsidR="3FF8E5A2">
        <w:rPr>
          <w:rFonts w:ascii="Gill Sans MT" w:hAnsi="Gill Sans MT" w:eastAsia="Gill Sans MT" w:cs="Gill Sans MT"/>
          <w:noProof w:val="0"/>
          <w:lang w:val="en-US"/>
        </w:rPr>
        <w:t xml:space="preserve"> business. In Coria-Sanchez, C.M., &amp; Hyatt, J.T (Eds.), </w:t>
      </w:r>
      <w:r w:rsidRPr="2F6D65C2" w:rsidR="3FF8E5A2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Mexican business culture: Essays on tradition, ethics, entrepreneurship and commerce and the state </w:t>
      </w:r>
      <w:r w:rsidRPr="2F6D65C2" w:rsidR="3FF8E5A2">
        <w:rPr>
          <w:rFonts w:ascii="Gill Sans MT" w:hAnsi="Gill Sans MT" w:eastAsia="Gill Sans MT" w:cs="Gill Sans MT"/>
          <w:i w:val="0"/>
          <w:iCs w:val="0"/>
          <w:noProof w:val="0"/>
          <w:lang w:val="en-US"/>
        </w:rPr>
        <w:t>(pp. 107-123)</w:t>
      </w:r>
      <w:r w:rsidRPr="2F6D65C2" w:rsidR="3FF8E5A2">
        <w:rPr>
          <w:rFonts w:ascii="Gill Sans MT" w:hAnsi="Gill Sans MT" w:eastAsia="Gill Sans MT" w:cs="Gill Sans MT"/>
          <w:noProof w:val="0"/>
          <w:lang w:val="en-US"/>
        </w:rPr>
        <w:t xml:space="preserve">. McFarland. </w:t>
      </w:r>
      <w:hyperlink r:id="R23ad539b6c2f422d">
        <w:r w:rsidRPr="2F6D65C2" w:rsidR="52125793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onesearch.uark.edu/discovery/fulldisplay?docid=alma991035999098507336&amp;context=L&amp;vid=01UARK_INST:01UARK&amp;lang=en&amp;search_scope=MyInst_and_CI&amp;adaptor=Local%20Search%20Engine&amp;tab=COMBINED&amp;query=any,contains,Mexican%20Business%20Culture:%20Essays%20on%20tradition,%20ethics,%20entrepreneurship,%20and%20commerce%20and%20the%20state</w:t>
        </w:r>
      </w:hyperlink>
    </w:p>
    <w:p w:rsidR="52125793" w:rsidP="52125793" w:rsidRDefault="52125793" w14:paraId="77B0B515" w14:textId="0D91090B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170C9ACB" w:rsidP="52125793" w:rsidRDefault="170C9ACB" w14:paraId="48A89C75" w14:textId="69002F88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</w:rPr>
      </w:pPr>
      <w:proofErr w:type="spellStart"/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>Joosr</w:t>
      </w:r>
      <w:proofErr w:type="spellEnd"/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. (2015). </w:t>
      </w:r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</w:t>
      </w:r>
      <w:proofErr w:type="spellStart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Joosr</w:t>
      </w:r>
      <w:proofErr w:type="spellEnd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guide to... the five dysfunctions of a team by </w:t>
      </w:r>
      <w:proofErr w:type="spellStart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patrick</w:t>
      </w:r>
      <w:proofErr w:type="spellEnd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</w:t>
      </w:r>
      <w:proofErr w:type="spellStart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l</w:t>
      </w:r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encioni</w:t>
      </w:r>
      <w:proofErr w:type="spellEnd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 :</w:t>
      </w:r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A leadership fable</w:t>
      </w:r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. </w:t>
      </w:r>
      <w:proofErr w:type="spellStart"/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>Bokish</w:t>
      </w:r>
      <w:proofErr w:type="spellEnd"/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. </w:t>
      </w:r>
      <w:hyperlink r:id="R3e01f0f1a8964f4d">
        <w:r w:rsidRPr="2F6D65C2" w:rsidR="6E5570D5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https://search.ebscohost.com/login.aspx?direct=true&amp;AuthType=ip,sso&amp;db=e020mna&amp;AN=1364519&amp;site=ehost-live&amp;scope=site.</w:t>
        </w:r>
      </w:hyperlink>
    </w:p>
    <w:p w:rsidR="52125793" w:rsidP="52125793" w:rsidRDefault="52125793" w14:paraId="03345F95" w14:textId="16A3851B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00692878" w:rsidP="52125793" w:rsidRDefault="00692878" w14:paraId="597A422C" w14:textId="2439C986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Kwan, L. (2019). </w:t>
      </w:r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The collaboration blind spot</w:t>
      </w:r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. Harvard Business Review. </w:t>
      </w:r>
      <w:hyperlink r:id="R71455310e3904dcc">
        <w:r w:rsidRPr="2F6D65C2" w:rsidR="6E5570D5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https://hbr.org/2019/03/the-collaboration-blind-spot</w:t>
        </w:r>
      </w:hyperlink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 </w:t>
      </w:r>
    </w:p>
    <w:p w:rsidR="00692878" w:rsidP="52125793" w:rsidRDefault="00692878" w14:paraId="31744536" w14:textId="28D927F1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00692878" w:rsidP="52125793" w:rsidRDefault="00692878" w14:paraId="37C2308A" w14:textId="5EBC75F4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Lutskiy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, A. (2021, February 8).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Far away b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ut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so close: Boosting global communication w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ith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clients a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nd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 staff in 2021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Forbes. </w:t>
      </w:r>
      <w:hyperlink r:id="Raaac7bfadc5e4a57">
        <w:r w:rsidRPr="2F6D65C2" w:rsidR="6434A8BA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https://www.forbes.com/sites/forbestechcouncil/2021/02/09/far-away-but-so-close-boosting-global-communication-with-clients-and-staff-in-2021/?sh=3ad37db373ab</w:t>
        </w:r>
      </w:hyperlink>
    </w:p>
    <w:p w:rsidR="52125793" w:rsidP="52125793" w:rsidRDefault="52125793" w14:paraId="099343B3" w14:textId="44A5F4AF">
      <w:pPr>
        <w:pStyle w:val="Normal"/>
        <w:spacing w:line="240" w:lineRule="auto"/>
        <w:ind w:left="720" w:hanging="720"/>
        <w:rPr>
          <w:rStyle w:val="Hyperlink"/>
          <w:rFonts w:ascii="Gill Sans MT" w:hAnsi="Gill Sans MT" w:eastAsia="Gill Sans MT" w:cs="Gill Sans MT"/>
          <w:noProof w:val="0"/>
          <w:lang w:val="en-US"/>
        </w:rPr>
      </w:pPr>
    </w:p>
    <w:p w:rsidR="6434A8BA" w:rsidP="52125793" w:rsidRDefault="6434A8BA" w14:paraId="692E9A14" w14:textId="364F7B02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Maznevski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, M.L., Dhanaraj, C., Orlick, A.L., &amp; McTeague, L., (</w:t>
      </w: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n.d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).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Leading collaboration in global organizations: How to build a house without a hammer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. IMD.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  <w:r w:rsidRPr="2F6D65C2" w:rsidR="6434A8BA">
        <w:rPr>
          <w:rStyle w:val="Hyperlink"/>
          <w:rFonts w:ascii="Gill Sans MT" w:hAnsi="Gill Sans MT" w:eastAsia="Gill Sans MT" w:cs="Gill Sans MT"/>
          <w:noProof w:val="0"/>
          <w:lang w:val="en-US"/>
        </w:rPr>
        <w:t>https://www.imd.org/research-knowledge/articles/leading-collaboration-in-global-organizations-how-to-build-a-house-without-a-hammer/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</w:p>
    <w:p w:rsidR="52125793" w:rsidP="52125793" w:rsidRDefault="52125793" w14:paraId="3D9644E4" w14:textId="2766EA59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6E5570D5" w:rsidP="52125793" w:rsidRDefault="6E5570D5" w14:paraId="03B8E761" w14:textId="7FADC61D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Meyer, E. (2017). </w:t>
      </w:r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Being the boss in </w:t>
      </w:r>
      <w:proofErr w:type="gramStart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brussels</w:t>
      </w:r>
      <w:proofErr w:type="gramEnd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, </w:t>
      </w:r>
      <w:proofErr w:type="spellStart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boston</w:t>
      </w:r>
      <w:proofErr w:type="spellEnd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 xml:space="preserve">, and </w:t>
      </w:r>
      <w:proofErr w:type="spellStart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beijing</w:t>
      </w:r>
      <w:proofErr w:type="spellEnd"/>
      <w:r w:rsidRPr="2F6D65C2" w:rsidR="6E5570D5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: If you want to succeed, you’ll need to adapt</w:t>
      </w:r>
      <w:r w:rsidRPr="2F6D65C2" w:rsidR="6E5570D5">
        <w:rPr>
          <w:rFonts w:ascii="Gill Sans MT" w:hAnsi="Gill Sans MT" w:eastAsia="Gill Sans MT" w:cs="Gill Sans MT"/>
          <w:noProof w:val="0"/>
          <w:lang w:val="en-US"/>
        </w:rPr>
        <w:t xml:space="preserve">. Harvard Business Review. </w:t>
      </w:r>
      <w:hyperlink r:id="Rd3d5bf78344c44d8">
        <w:r w:rsidRPr="2F6D65C2" w:rsidR="6E5570D5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https://hbr.org/2017/07/being-the-boss-in-brussels-boston-and-beijing</w:t>
        </w:r>
      </w:hyperlink>
    </w:p>
    <w:p w:rsidR="52125793" w:rsidP="52125793" w:rsidRDefault="52125793" w14:paraId="31CC43D3" w14:textId="2F594FEE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6434A8BA" w:rsidP="52125793" w:rsidRDefault="6434A8BA" w14:paraId="66839B6E" w14:textId="69AEA257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*Meyer, E. (2014)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The culture map: Breaking through the invisible boundaries of global business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(1st ed.).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PublicAffairs. </w:t>
      </w:r>
      <w:hyperlink r:id="Raa456213d21e4b52">
        <w:r w:rsidRPr="2F6D65C2" w:rsidR="7169421C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 xml:space="preserve"> https://ebookcentral.proquest.com/lib/uark-ebooks/detail.action?pq-origsite=primo&amp;docID=1634787 </w:t>
        </w:r>
      </w:hyperlink>
    </w:p>
    <w:p w:rsidR="52125793" w:rsidP="52125793" w:rsidRDefault="52125793" w14:paraId="1CE13C5B" w14:textId="15B81CD3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00692878" w:rsidP="52125793" w:rsidRDefault="00692878" w14:paraId="43E35730" w14:textId="3D34CBDA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Neeley, </w:t>
      </w:r>
      <w:proofErr w:type="spellStart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Tsedal</w:t>
      </w:r>
      <w:proofErr w:type="spellEnd"/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(2015, October).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Global teams that work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Harvard Business Review. </w:t>
      </w:r>
      <w:r w:rsidRPr="2F6D65C2" w:rsidR="6434A8BA">
        <w:rPr>
          <w:rStyle w:val="Hyperlink"/>
          <w:rFonts w:ascii="Gill Sans MT" w:hAnsi="Gill Sans MT" w:eastAsia="Gill Sans MT" w:cs="Gill Sans MT"/>
          <w:noProof w:val="0"/>
          <w:lang w:val="en-US"/>
        </w:rPr>
        <w:t>https://hbr.org/2015/10/global-teams-that-work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 </w:t>
      </w:r>
    </w:p>
    <w:p w:rsidR="52125793" w:rsidP="52125793" w:rsidRDefault="52125793" w14:paraId="2C5ADBD6" w14:textId="66EC584B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00692878" w:rsidP="52125793" w:rsidRDefault="00692878" w14:paraId="4DC7BB86" w14:textId="3AC8415D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</w:rPr>
      </w:pP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Stahl, A. (2021, December 21). </w:t>
      </w:r>
      <w:r w:rsidRPr="2F6D65C2" w:rsidR="6434A8BA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3 benefits of diversity in the workplace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>. Forbes</w:t>
      </w:r>
      <w:r w:rsidRPr="2F6D65C2" w:rsidR="6434A8BA">
        <w:rPr>
          <w:rFonts w:ascii="Gill Sans MT" w:hAnsi="Gill Sans MT" w:eastAsia="Gill Sans MT" w:cs="Gill Sans MT"/>
          <w:noProof w:val="0"/>
          <w:lang w:val="en-US"/>
        </w:rPr>
        <w:t xml:space="preserve">.  </w:t>
      </w:r>
      <w:hyperlink r:id="R725bbb675ae540d1">
        <w:r w:rsidRPr="2F6D65C2" w:rsidR="6434A8BA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https://www.forbes.com/sites/ashleystahl/2021/12/17/3-benefits-of-diversity-in-the-workplace/?sh=7d9e486222ed</w:t>
        </w:r>
      </w:hyperlink>
    </w:p>
    <w:p w:rsidR="52125793" w:rsidP="52125793" w:rsidRDefault="52125793" w14:paraId="767EDF84" w14:textId="2BDD798E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</w:p>
    <w:p w:rsidR="170C9ACB" w:rsidP="52125793" w:rsidRDefault="170C9ACB" w14:paraId="3D781193" w14:textId="7D7AB356">
      <w:pPr>
        <w:pStyle w:val="Normal"/>
        <w:spacing w:line="240" w:lineRule="auto"/>
        <w:ind w:left="720" w:hanging="720"/>
        <w:rPr>
          <w:rFonts w:ascii="Gill Sans MT" w:hAnsi="Gill Sans MT" w:eastAsia="Gill Sans MT" w:cs="Gill Sans MT"/>
          <w:noProof w:val="0"/>
          <w:lang w:val="en-US"/>
        </w:rPr>
      </w:pPr>
      <w:r w:rsidRPr="2F6D65C2" w:rsidR="5ECE88FF">
        <w:rPr>
          <w:rFonts w:ascii="Gill Sans MT" w:hAnsi="Gill Sans MT" w:eastAsia="Gill Sans MT" w:cs="Gill Sans MT"/>
          <w:noProof w:val="0"/>
          <w:lang w:val="en-US"/>
        </w:rPr>
        <w:t xml:space="preserve">Tate, Carson (2015, April 3). </w:t>
      </w:r>
      <w:r w:rsidRPr="2F6D65C2" w:rsidR="5ECE88FF">
        <w:rPr>
          <w:rFonts w:ascii="Gill Sans MT" w:hAnsi="Gill Sans MT" w:eastAsia="Gill Sans MT" w:cs="Gill Sans MT"/>
          <w:i w:val="1"/>
          <w:iCs w:val="1"/>
          <w:noProof w:val="0"/>
          <w:lang w:val="en-US"/>
        </w:rPr>
        <w:t>Differing work styles can help team performance</w:t>
      </w:r>
      <w:r w:rsidRPr="2F6D65C2" w:rsidR="5ECE88FF">
        <w:rPr>
          <w:rFonts w:ascii="Gill Sans MT" w:hAnsi="Gill Sans MT" w:eastAsia="Gill Sans MT" w:cs="Gill Sans MT"/>
          <w:noProof w:val="0"/>
          <w:lang w:val="en-US"/>
        </w:rPr>
        <w:t xml:space="preserve">. Harvard Business Review. </w:t>
      </w:r>
      <w:hyperlink r:id="R6898a0bf8a4e4f24">
        <w:r w:rsidRPr="2F6D65C2" w:rsidR="5ECE88FF">
          <w:rPr>
            <w:rStyle w:val="Hyperlink"/>
            <w:rFonts w:ascii="Gill Sans MT" w:hAnsi="Gill Sans MT" w:eastAsia="Gill Sans MT" w:cs="Gill Sans MT"/>
            <w:noProof w:val="0"/>
            <w:lang w:val="en-US"/>
          </w:rPr>
          <w:t>https://hbr.org/2015/04/differing-work-styles-can-help-team-performance</w:t>
        </w:r>
      </w:hyperlink>
      <w:r w:rsidRPr="2F6D65C2" w:rsidR="5ECE88FF">
        <w:rPr>
          <w:rFonts w:ascii="Gill Sans MT" w:hAnsi="Gill Sans MT" w:eastAsia="Gill Sans MT" w:cs="Gill Sans MT"/>
          <w:noProof w:val="0"/>
          <w:lang w:val="en-US"/>
        </w:rPr>
        <w:t xml:space="preserve"> </w:t>
      </w:r>
    </w:p>
    <w:p w:rsidR="57718337" w:rsidP="57718337" w:rsidRDefault="57718337" w14:paraId="1C741E45" w14:textId="6F26EA52">
      <w:pPr>
        <w:pStyle w:val="ListParagraph"/>
        <w:spacing w:before="0" w:beforeAutospacing="off" w:after="160" w:afterAutospacing="off" w:line="360" w:lineRule="auto"/>
        <w:ind w:left="0"/>
        <w:rPr>
          <w:rFonts w:ascii="Gill Sans MT" w:hAnsi="Gill Sans MT" w:eastAsia="Gill Sans MT" w:cs="Gill Sans MT"/>
          <w:noProof w:val="0"/>
          <w:lang w:val="en-US"/>
        </w:rPr>
      </w:pPr>
    </w:p>
    <w:sectPr w:rsidR="00850A1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BD7B2jR" int2:invalidationBookmarkName="" int2:hashCode="iRmexV0W5qh95a" int2:id="1r5ytfr2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a23a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aff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6b22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ffad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833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9E"/>
    <w:rsid w:val="000748B9"/>
    <w:rsid w:val="0028B7EF"/>
    <w:rsid w:val="003D1608"/>
    <w:rsid w:val="004AC89F"/>
    <w:rsid w:val="0064669E"/>
    <w:rsid w:val="00692878"/>
    <w:rsid w:val="00850A13"/>
    <w:rsid w:val="008D1A4C"/>
    <w:rsid w:val="0092224C"/>
    <w:rsid w:val="00B5D12E"/>
    <w:rsid w:val="00DA0E53"/>
    <w:rsid w:val="00ED06B9"/>
    <w:rsid w:val="00FF0DE2"/>
    <w:rsid w:val="018A6CC6"/>
    <w:rsid w:val="01BDCE87"/>
    <w:rsid w:val="01D34C80"/>
    <w:rsid w:val="024B75A1"/>
    <w:rsid w:val="027F88CE"/>
    <w:rsid w:val="0288D71A"/>
    <w:rsid w:val="02F78A9B"/>
    <w:rsid w:val="0369332C"/>
    <w:rsid w:val="0424A77B"/>
    <w:rsid w:val="04C7BE0A"/>
    <w:rsid w:val="04E853ED"/>
    <w:rsid w:val="0524159F"/>
    <w:rsid w:val="053E8EB3"/>
    <w:rsid w:val="055522A1"/>
    <w:rsid w:val="056F98A7"/>
    <w:rsid w:val="05831663"/>
    <w:rsid w:val="05B5D07B"/>
    <w:rsid w:val="05E37C6C"/>
    <w:rsid w:val="06274D01"/>
    <w:rsid w:val="06B2179E"/>
    <w:rsid w:val="06B852CC"/>
    <w:rsid w:val="06BA0A23"/>
    <w:rsid w:val="06BFE600"/>
    <w:rsid w:val="06DA5F14"/>
    <w:rsid w:val="06F0F302"/>
    <w:rsid w:val="0756B897"/>
    <w:rsid w:val="07681AEF"/>
    <w:rsid w:val="07932BD7"/>
    <w:rsid w:val="0867849A"/>
    <w:rsid w:val="098F512B"/>
    <w:rsid w:val="098F512B"/>
    <w:rsid w:val="0A4309CA"/>
    <w:rsid w:val="0A8E5959"/>
    <w:rsid w:val="0A9FD2E8"/>
    <w:rsid w:val="0B0BE9E7"/>
    <w:rsid w:val="0B9F255C"/>
    <w:rsid w:val="0BA5A593"/>
    <w:rsid w:val="0C173BEC"/>
    <w:rsid w:val="0C1A87A3"/>
    <w:rsid w:val="0C660433"/>
    <w:rsid w:val="0CFB852E"/>
    <w:rsid w:val="0D15FF27"/>
    <w:rsid w:val="0D1F5FD5"/>
    <w:rsid w:val="0D470C29"/>
    <w:rsid w:val="0E01D494"/>
    <w:rsid w:val="0E048CC6"/>
    <w:rsid w:val="0E142304"/>
    <w:rsid w:val="0E2C6A99"/>
    <w:rsid w:val="0E760DD6"/>
    <w:rsid w:val="0EEFEE7B"/>
    <w:rsid w:val="0F3E7ABE"/>
    <w:rsid w:val="0F6D2477"/>
    <w:rsid w:val="0FA01AFF"/>
    <w:rsid w:val="0FDF4A91"/>
    <w:rsid w:val="105138A0"/>
    <w:rsid w:val="10BC541D"/>
    <w:rsid w:val="10F88322"/>
    <w:rsid w:val="11186A42"/>
    <w:rsid w:val="119089AB"/>
    <w:rsid w:val="11A87E16"/>
    <w:rsid w:val="11FA467A"/>
    <w:rsid w:val="12FBD67A"/>
    <w:rsid w:val="1481CDE3"/>
    <w:rsid w:val="14A28D75"/>
    <w:rsid w:val="14E54F5A"/>
    <w:rsid w:val="14F547A3"/>
    <w:rsid w:val="154607A2"/>
    <w:rsid w:val="1562C629"/>
    <w:rsid w:val="1562C629"/>
    <w:rsid w:val="15FA20E4"/>
    <w:rsid w:val="160EEA4A"/>
    <w:rsid w:val="1663FACE"/>
    <w:rsid w:val="16ED9340"/>
    <w:rsid w:val="16F87064"/>
    <w:rsid w:val="170C9ACB"/>
    <w:rsid w:val="17F07C37"/>
    <w:rsid w:val="1833872B"/>
    <w:rsid w:val="18C06480"/>
    <w:rsid w:val="192F8DBE"/>
    <w:rsid w:val="1BEC90CD"/>
    <w:rsid w:val="1C024AF4"/>
    <w:rsid w:val="1CE31647"/>
    <w:rsid w:val="1D172974"/>
    <w:rsid w:val="1D4E898B"/>
    <w:rsid w:val="1DDDC4ED"/>
    <w:rsid w:val="1E44DC7A"/>
    <w:rsid w:val="1EF62BAB"/>
    <w:rsid w:val="1F4B0DBE"/>
    <w:rsid w:val="1F4B0DBE"/>
    <w:rsid w:val="202CE919"/>
    <w:rsid w:val="20BED11A"/>
    <w:rsid w:val="20E6DE1F"/>
    <w:rsid w:val="210F7135"/>
    <w:rsid w:val="2133B810"/>
    <w:rsid w:val="21E339F1"/>
    <w:rsid w:val="22986A7C"/>
    <w:rsid w:val="237690E7"/>
    <w:rsid w:val="23ACB2A9"/>
    <w:rsid w:val="245365B6"/>
    <w:rsid w:val="252C99B8"/>
    <w:rsid w:val="25EB1135"/>
    <w:rsid w:val="260BF38F"/>
    <w:rsid w:val="26A368D5"/>
    <w:rsid w:val="276470A4"/>
    <w:rsid w:val="277CC540"/>
    <w:rsid w:val="27F13ECF"/>
    <w:rsid w:val="280E8D87"/>
    <w:rsid w:val="293629EB"/>
    <w:rsid w:val="297125CA"/>
    <w:rsid w:val="29BF61FD"/>
    <w:rsid w:val="29BF61FD"/>
    <w:rsid w:val="2A078777"/>
    <w:rsid w:val="2A5FDBA0"/>
    <w:rsid w:val="2A839E33"/>
    <w:rsid w:val="2B235F82"/>
    <w:rsid w:val="2B67DAA9"/>
    <w:rsid w:val="2BF0B072"/>
    <w:rsid w:val="2D1E3EC5"/>
    <w:rsid w:val="2DD030A8"/>
    <w:rsid w:val="2E1EE522"/>
    <w:rsid w:val="2E1EE522"/>
    <w:rsid w:val="2EF1D2DB"/>
    <w:rsid w:val="2F6D65C2"/>
    <w:rsid w:val="30254A9D"/>
    <w:rsid w:val="303B4BCC"/>
    <w:rsid w:val="3089D908"/>
    <w:rsid w:val="30FB9B74"/>
    <w:rsid w:val="310DF8DC"/>
    <w:rsid w:val="310DF8DC"/>
    <w:rsid w:val="3161FF3F"/>
    <w:rsid w:val="3165D047"/>
    <w:rsid w:val="31676F85"/>
    <w:rsid w:val="3190110A"/>
    <w:rsid w:val="31C11AFE"/>
    <w:rsid w:val="320680D8"/>
    <w:rsid w:val="320752D2"/>
    <w:rsid w:val="3251A5B4"/>
    <w:rsid w:val="3251A5B4"/>
    <w:rsid w:val="32A9C93D"/>
    <w:rsid w:val="333F426B"/>
    <w:rsid w:val="33412765"/>
    <w:rsid w:val="3427B469"/>
    <w:rsid w:val="34F8BBC0"/>
    <w:rsid w:val="34F8BBC0"/>
    <w:rsid w:val="350DBE9F"/>
    <w:rsid w:val="3519B5AD"/>
    <w:rsid w:val="360B9913"/>
    <w:rsid w:val="364175E5"/>
    <w:rsid w:val="365ACCF1"/>
    <w:rsid w:val="36B5860E"/>
    <w:rsid w:val="3759D51C"/>
    <w:rsid w:val="37AE33F1"/>
    <w:rsid w:val="37B288C0"/>
    <w:rsid w:val="3887060C"/>
    <w:rsid w:val="38ED84FC"/>
    <w:rsid w:val="391F6C7A"/>
    <w:rsid w:val="3A22D66D"/>
    <w:rsid w:val="3A6A9C53"/>
    <w:rsid w:val="3ABCC8A8"/>
    <w:rsid w:val="3B0D04FC"/>
    <w:rsid w:val="3B4796F5"/>
    <w:rsid w:val="3B5671C0"/>
    <w:rsid w:val="3BDB37C6"/>
    <w:rsid w:val="3C9F2240"/>
    <w:rsid w:val="3CE597EA"/>
    <w:rsid w:val="3D22C216"/>
    <w:rsid w:val="3D35B76E"/>
    <w:rsid w:val="3D842103"/>
    <w:rsid w:val="3DD411E9"/>
    <w:rsid w:val="3DEC1E9A"/>
    <w:rsid w:val="3E7EBAA0"/>
    <w:rsid w:val="3F4CD917"/>
    <w:rsid w:val="3F9B0150"/>
    <w:rsid w:val="3FF8E5A2"/>
    <w:rsid w:val="40AD08C9"/>
    <w:rsid w:val="40E888F8"/>
    <w:rsid w:val="412C0A2C"/>
    <w:rsid w:val="41A2C2AB"/>
    <w:rsid w:val="41AC8AE7"/>
    <w:rsid w:val="42EF5F8A"/>
    <w:rsid w:val="42FE9C15"/>
    <w:rsid w:val="4398FB63"/>
    <w:rsid w:val="43E188D8"/>
    <w:rsid w:val="4466D21C"/>
    <w:rsid w:val="44BD2197"/>
    <w:rsid w:val="44F77C46"/>
    <w:rsid w:val="453BEF01"/>
    <w:rsid w:val="45980D63"/>
    <w:rsid w:val="45BB0028"/>
    <w:rsid w:val="461D3A12"/>
    <w:rsid w:val="466AFB1C"/>
    <w:rsid w:val="46885118"/>
    <w:rsid w:val="46B7A699"/>
    <w:rsid w:val="46D09C25"/>
    <w:rsid w:val="478C545B"/>
    <w:rsid w:val="483D4EA6"/>
    <w:rsid w:val="483D4EA6"/>
    <w:rsid w:val="483E1324"/>
    <w:rsid w:val="484C7A08"/>
    <w:rsid w:val="48508BFF"/>
    <w:rsid w:val="486C6C86"/>
    <w:rsid w:val="492824BC"/>
    <w:rsid w:val="4A03A1AF"/>
    <w:rsid w:val="4AD2EC72"/>
    <w:rsid w:val="4C0B25BA"/>
    <w:rsid w:val="4C43370E"/>
    <w:rsid w:val="4C605BFB"/>
    <w:rsid w:val="4CFD449A"/>
    <w:rsid w:val="4D99414E"/>
    <w:rsid w:val="4DCDFF93"/>
    <w:rsid w:val="4E41D3FC"/>
    <w:rsid w:val="4F3511AF"/>
    <w:rsid w:val="50700138"/>
    <w:rsid w:val="51DFC0CC"/>
    <w:rsid w:val="52125793"/>
    <w:rsid w:val="524FB90C"/>
    <w:rsid w:val="526351C3"/>
    <w:rsid w:val="529CD0A6"/>
    <w:rsid w:val="52C25287"/>
    <w:rsid w:val="53009710"/>
    <w:rsid w:val="53134CB7"/>
    <w:rsid w:val="531CAD65"/>
    <w:rsid w:val="531CAD65"/>
    <w:rsid w:val="547513F3"/>
    <w:rsid w:val="55023CF9"/>
    <w:rsid w:val="5518D1BE"/>
    <w:rsid w:val="5518D1BE"/>
    <w:rsid w:val="553411CD"/>
    <w:rsid w:val="555A0051"/>
    <w:rsid w:val="5580788C"/>
    <w:rsid w:val="55CBFF87"/>
    <w:rsid w:val="5610E454"/>
    <w:rsid w:val="563A1749"/>
    <w:rsid w:val="57718337"/>
    <w:rsid w:val="57784062"/>
    <w:rsid w:val="5798471D"/>
    <w:rsid w:val="5798471D"/>
    <w:rsid w:val="580BB470"/>
    <w:rsid w:val="586A5DB0"/>
    <w:rsid w:val="586BB28F"/>
    <w:rsid w:val="58840327"/>
    <w:rsid w:val="58DBC732"/>
    <w:rsid w:val="5991FA14"/>
    <w:rsid w:val="59B98A48"/>
    <w:rsid w:val="5A935A3E"/>
    <w:rsid w:val="5AE745FE"/>
    <w:rsid w:val="5AF19D88"/>
    <w:rsid w:val="5B9DD08D"/>
    <w:rsid w:val="5BADDC74"/>
    <w:rsid w:val="5BADDC74"/>
    <w:rsid w:val="5BE6D06B"/>
    <w:rsid w:val="5C903070"/>
    <w:rsid w:val="5CA9D0E5"/>
    <w:rsid w:val="5CC99AD6"/>
    <w:rsid w:val="5CE6A878"/>
    <w:rsid w:val="5E0F7627"/>
    <w:rsid w:val="5E2C00D1"/>
    <w:rsid w:val="5E7B69AC"/>
    <w:rsid w:val="5EA06716"/>
    <w:rsid w:val="5ECE88FF"/>
    <w:rsid w:val="5F1E75D0"/>
    <w:rsid w:val="5FA2FBB8"/>
    <w:rsid w:val="60BA4631"/>
    <w:rsid w:val="60C8ABAF"/>
    <w:rsid w:val="61B2560D"/>
    <w:rsid w:val="61CB7E6A"/>
    <w:rsid w:val="61CFECB2"/>
    <w:rsid w:val="62076691"/>
    <w:rsid w:val="6212E59B"/>
    <w:rsid w:val="62C83320"/>
    <w:rsid w:val="63674ECB"/>
    <w:rsid w:val="63952EC0"/>
    <w:rsid w:val="63AA6C24"/>
    <w:rsid w:val="63AEB5FC"/>
    <w:rsid w:val="63AEB5FC"/>
    <w:rsid w:val="63BFC562"/>
    <w:rsid w:val="63FFB648"/>
    <w:rsid w:val="63FFB648"/>
    <w:rsid w:val="6423D32D"/>
    <w:rsid w:val="6434A8BA"/>
    <w:rsid w:val="64784E3E"/>
    <w:rsid w:val="64E9F6CF"/>
    <w:rsid w:val="64F5702A"/>
    <w:rsid w:val="65196A5B"/>
    <w:rsid w:val="658FD289"/>
    <w:rsid w:val="6599F1C3"/>
    <w:rsid w:val="659C1CD2"/>
    <w:rsid w:val="65D37CE9"/>
    <w:rsid w:val="660C23B6"/>
    <w:rsid w:val="6685C730"/>
    <w:rsid w:val="668BB0E5"/>
    <w:rsid w:val="68AE83A0"/>
    <w:rsid w:val="6995F0CD"/>
    <w:rsid w:val="69A8D7AE"/>
    <w:rsid w:val="6B44A80F"/>
    <w:rsid w:val="6B593853"/>
    <w:rsid w:val="6BE231DC"/>
    <w:rsid w:val="6C6962FE"/>
    <w:rsid w:val="6DC202D8"/>
    <w:rsid w:val="6E4FC905"/>
    <w:rsid w:val="6E5404EC"/>
    <w:rsid w:val="6E5570D5"/>
    <w:rsid w:val="6EB7730B"/>
    <w:rsid w:val="6F75299B"/>
    <w:rsid w:val="700406ED"/>
    <w:rsid w:val="70083241"/>
    <w:rsid w:val="70A20B43"/>
    <w:rsid w:val="70CEF568"/>
    <w:rsid w:val="713E030E"/>
    <w:rsid w:val="715A152E"/>
    <w:rsid w:val="7169421C"/>
    <w:rsid w:val="71720BF7"/>
    <w:rsid w:val="7187DA55"/>
    <w:rsid w:val="7187DA55"/>
    <w:rsid w:val="722CFDD4"/>
    <w:rsid w:val="722F8A79"/>
    <w:rsid w:val="7237D549"/>
    <w:rsid w:val="7237D549"/>
    <w:rsid w:val="7276AFB2"/>
    <w:rsid w:val="7276AFB2"/>
    <w:rsid w:val="72BC7D73"/>
    <w:rsid w:val="733FD303"/>
    <w:rsid w:val="743F2577"/>
    <w:rsid w:val="74B0C40F"/>
    <w:rsid w:val="74DBA364"/>
    <w:rsid w:val="74DBA364"/>
    <w:rsid w:val="75B02365"/>
    <w:rsid w:val="75DB6990"/>
    <w:rsid w:val="76B013F8"/>
    <w:rsid w:val="76B322E3"/>
    <w:rsid w:val="77A0F19D"/>
    <w:rsid w:val="77E8EECD"/>
    <w:rsid w:val="7836CE66"/>
    <w:rsid w:val="7989E2CD"/>
    <w:rsid w:val="798CC4C8"/>
    <w:rsid w:val="79EA2D3C"/>
    <w:rsid w:val="7A88F2AF"/>
    <w:rsid w:val="7AD6B886"/>
    <w:rsid w:val="7B140804"/>
    <w:rsid w:val="7B1B2B41"/>
    <w:rsid w:val="7B6D9141"/>
    <w:rsid w:val="7C60CFBD"/>
    <w:rsid w:val="7D1903B9"/>
    <w:rsid w:val="7DFEFD49"/>
    <w:rsid w:val="7E28C3D9"/>
    <w:rsid w:val="7E908C71"/>
    <w:rsid w:val="7FEE9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F86D"/>
  <w15:chartTrackingRefBased/>
  <w15:docId w15:val="{BC96D11C-FA1E-41CA-992B-FC499BA4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DE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4669E"/>
    <w:pPr>
      <w:spacing w:before="100" w:beforeAutospacing="1" w:after="100" w:afterAutospacing="1"/>
    </w:pPr>
    <w:rPr>
      <w:rFonts w:eastAsia="Times New Roman" w:cs="Times New Roman"/>
    </w:rPr>
  </w:style>
  <w:style w:type="character" w:styleId="normaltextrun" w:customStyle="1">
    <w:name w:val="normaltextrun"/>
    <w:basedOn w:val="DefaultParagraphFont"/>
    <w:rsid w:val="0064669E"/>
  </w:style>
  <w:style w:type="character" w:styleId="eop" w:customStyle="1">
    <w:name w:val="eop"/>
    <w:basedOn w:val="DefaultParagraphFont"/>
    <w:rsid w:val="0064669E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6/09/relationships/commentsIds" Target="commentsIds.xml" Id="R536cf4e03bc7481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commentsExtended" Target="commentsExtended.xml" Id="R007de009220d451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25f7fdb7b0e04dfa" /><Relationship Type="http://schemas.openxmlformats.org/officeDocument/2006/relationships/numbering" Target="numbering.xml" Id="R9b4a4934e31d4b37" /><Relationship Type="http://schemas.microsoft.com/office/2020/10/relationships/intelligence" Target="intelligence2.xml" Id="R2f9bd03395014c81" /><Relationship Type="http://schemas.openxmlformats.org/officeDocument/2006/relationships/hyperlink" Target="https://libraries.uark.edu/" TargetMode="External" Id="R7fae3abe4e5248b0" /><Relationship Type="http://schemas.openxmlformats.org/officeDocument/2006/relationships/hyperlink" Target="https://www.diversityresources.com/cultural-diversity-workplace/" TargetMode="External" Id="R250d0a00abc94656" /><Relationship Type="http://schemas.openxmlformats.org/officeDocument/2006/relationships/hyperlink" Target="https://doi.org/10.1186/s40561-015-0018-7" TargetMode="External" Id="R628a29d43b03449b" /><Relationship Type="http://schemas.openxmlformats.org/officeDocument/2006/relationships/hyperlink" Target="https://search.proquest.com/legacydocview/EBC/1365265/bookReader?accountid=8361&amp;ppg=20" TargetMode="External" Id="Rb60d34788116472a" /><Relationship Type="http://schemas.openxmlformats.org/officeDocument/2006/relationships/hyperlink" Target="https://onesearch.uark.edu/discovery/fulldisplay?docid=alma991035999098507336&amp;context=L&amp;vid=01UARK_INST:01UARK&amp;lang=en&amp;search_scope=MyInst_and_CI&amp;adaptor=Local%20Search%20Engine&amp;tab=COMBINED&amp;query=any,contains,Mexican%20Business%20Culture:%20Essays%20on%20tradition,%20ethics,%20entrepreneurship,%20and%20commerce%20and%20the%20state" TargetMode="External" Id="R23ad539b6c2f422d" /><Relationship Type="http://schemas.openxmlformats.org/officeDocument/2006/relationships/hyperlink" Target="https://search.ebscohost.com/login.aspx?direct=true&amp;AuthType=ip,sso&amp;db=e020mna&amp;AN=1364519&amp;site=ehost-live&amp;scope=site." TargetMode="External" Id="R3e01f0f1a8964f4d" /><Relationship Type="http://schemas.openxmlformats.org/officeDocument/2006/relationships/hyperlink" Target="https://hbr.org/2019/03/the-collaboration-blind-spot" TargetMode="External" Id="R71455310e3904dcc" /><Relationship Type="http://schemas.openxmlformats.org/officeDocument/2006/relationships/hyperlink" Target="https://www.forbes.com/sites/forbestechcouncil/2021/02/09/far-away-but-so-close-boosting-global-communication-with-clients-and-staff-in-2021/?sh=3ad37db373ab" TargetMode="External" Id="Raaac7bfadc5e4a57" /><Relationship Type="http://schemas.openxmlformats.org/officeDocument/2006/relationships/hyperlink" Target="https://hbr.org/2017/07/being-the-boss-in-brussels-boston-and-beijing" TargetMode="External" Id="Rd3d5bf78344c44d8" /><Relationship Type="http://schemas.openxmlformats.org/officeDocument/2006/relationships/hyperlink" Target="https://ebookcentral.proquest.com/lib/uark-ebooks/detail.action?pq-origsite=primo&amp;docID=1634787" TargetMode="External" Id="Raa456213d21e4b52" /><Relationship Type="http://schemas.openxmlformats.org/officeDocument/2006/relationships/hyperlink" Target="https://www.forbes.com/sites/ashleystahl/2021/12/17/3-benefits-of-diversity-in-the-workplace/?sh=7d9e486222ed" TargetMode="External" Id="R725bbb675ae540d1" /><Relationship Type="http://schemas.openxmlformats.org/officeDocument/2006/relationships/hyperlink" Target="https://hbr.org/2015/04/differing-work-styles-can-help-team-performance" TargetMode="External" Id="R6898a0bf8a4e4f24" /><Relationship Type="http://schemas.openxmlformats.org/officeDocument/2006/relationships/hyperlink" Target="https://doi.org/10.2307/j.ctvswx8wb.11" TargetMode="External" Id="Rffa8d5f4ab9145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6" ma:contentTypeDescription="Create a new document." ma:contentTypeScope="" ma:versionID="9610c5bd47982a0620ea6af5b4b7c3e1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428f174b75ac31f621553bc5568b6f60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  <SharedWithUsers xmlns="360be762-edbb-4d24-8bbd-68858f4fc910">
      <UserInfo>
        <DisplayName>Ryan Sheets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D1FAD1-455D-4D06-9E90-5AAA44845E1B}"/>
</file>

<file path=customXml/itemProps2.xml><?xml version="1.0" encoding="utf-8"?>
<ds:datastoreItem xmlns:ds="http://schemas.openxmlformats.org/officeDocument/2006/customXml" ds:itemID="{8AE63E36-0C22-4094-930E-1B8D6269FEFB}"/>
</file>

<file path=customXml/itemProps3.xml><?xml version="1.0" encoding="utf-8"?>
<ds:datastoreItem xmlns:ds="http://schemas.openxmlformats.org/officeDocument/2006/customXml" ds:itemID="{560E7185-726D-4046-9027-04C6050EC9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Jaime Gavilano</dc:creator>
  <keywords/>
  <dc:description/>
  <lastModifiedBy>Gracie Bain</lastModifiedBy>
  <revision>17</revision>
  <dcterms:created xsi:type="dcterms:W3CDTF">2022-05-24T15:20:00.0000000Z</dcterms:created>
  <dcterms:modified xsi:type="dcterms:W3CDTF">2022-07-21T18:19:27.2776464Z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