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80E657D" w:rsidP="362C2891" w:rsidRDefault="380E657D" w14:paraId="4190BD28" w14:textId="4CF3BE5B">
      <w:pPr>
        <w:spacing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D800CEF" w:rsidR="380E657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TO:</w:t>
      </w:r>
      <w:r w:rsidRPr="3D800CEF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D800CEF" w:rsidR="64BB20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Reynolds Walker Management Team</w:t>
      </w:r>
    </w:p>
    <w:p w:rsidR="380E657D" w:rsidP="362C2891" w:rsidRDefault="380E657D" w14:paraId="51941A4D" w14:textId="31EE6E7A">
      <w:pPr>
        <w:spacing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2C2891" w:rsidR="380E657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FROM:</w:t>
      </w:r>
      <w:r w:rsidRPr="362C2891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[</w:t>
      </w:r>
      <w:r w:rsidRPr="362C2891" w:rsidR="7898D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Your </w:t>
      </w:r>
      <w:r w:rsidRPr="362C2891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Name]</w:t>
      </w:r>
    </w:p>
    <w:p w:rsidR="380E657D" w:rsidP="2154DF70" w:rsidRDefault="380E657D" w14:paraId="37F74FEF" w14:textId="053DF1E2">
      <w:pPr>
        <w:spacing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2C2891" w:rsidR="380E657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CC:</w:t>
      </w:r>
      <w:r w:rsidRPr="362C2891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[</w:t>
      </w:r>
      <w:r w:rsidRPr="362C2891" w:rsidR="03123A5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Your Instructor’s </w:t>
      </w:r>
      <w:r w:rsidRPr="362C2891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Name and </w:t>
      </w:r>
      <w:r w:rsidRPr="362C2891" w:rsidR="6A83790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Class </w:t>
      </w:r>
      <w:r w:rsidRPr="362C2891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Section]</w:t>
      </w:r>
    </w:p>
    <w:p w:rsidR="380E657D" w:rsidP="362C2891" w:rsidRDefault="380E657D" w14:paraId="3DD26683" w14:textId="639BCBFD">
      <w:pPr>
        <w:spacing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2C2891" w:rsidR="380E657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DATE:</w:t>
      </w:r>
      <w:r w:rsidRPr="362C2891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[Assignment Due Date]</w:t>
      </w:r>
    </w:p>
    <w:p w:rsidR="2154DF70" w:rsidP="362C2891" w:rsidRDefault="2154DF70" w14:paraId="44E2175A" w14:textId="284B3F06">
      <w:pPr>
        <w:spacing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74561EB" w:rsidR="380E657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SUBJECT:</w:t>
      </w:r>
      <w:r w:rsidRPr="574561EB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74561EB" w:rsidR="502B946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[</w:t>
      </w:r>
      <w:r w:rsidRPr="574561EB" w:rsidR="2DB85CF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Title for </w:t>
      </w:r>
      <w:r w:rsidRPr="574561EB" w:rsidR="2DB85CF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your m</w:t>
      </w:r>
      <w:r w:rsidRPr="574561EB" w:rsidR="2DB85CF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emo</w:t>
      </w:r>
      <w:r w:rsidRPr="574561EB" w:rsidR="70801B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]</w:t>
      </w:r>
    </w:p>
    <w:p w:rsidR="2154DF70" w:rsidP="362C2891" w:rsidRDefault="2154DF70" w14:paraId="3C4AB74C" w14:textId="0A5F7191">
      <w:pPr>
        <w:pStyle w:val="Normal"/>
        <w:spacing w:after="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w:rsidR="380E657D" w:rsidP="362C2891" w:rsidRDefault="380E657D" w14:paraId="4E9E76F8" w14:textId="02849BC9">
      <w:pPr>
        <w:spacing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F18E9B9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Here, </w:t>
      </w:r>
      <w:bookmarkStart w:name="_Int_qLtlHMuF" w:id="1879922010"/>
      <w:r w:rsidRPr="3F18E9B9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succinctly</w:t>
      </w:r>
      <w:bookmarkEnd w:id="1879922010"/>
      <w:r w:rsidRPr="3F18E9B9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bookmarkStart w:name="_Int_kdUqJb4N" w:id="888724031"/>
      <w:r w:rsidRPr="3F18E9B9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state</w:t>
      </w:r>
      <w:bookmarkEnd w:id="888724031"/>
      <w:r w:rsidRPr="3F18E9B9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purpose of writing the memo, which is to propose a plan</w:t>
      </w:r>
      <w:r w:rsidRPr="3F18E9B9" w:rsidR="4138A6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with two recommendations</w:t>
      </w:r>
      <w:r w:rsidRPr="3F18E9B9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</w:t>
      </w:r>
      <w:r w:rsidRPr="3F18E9B9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assist</w:t>
      </w:r>
      <w:r w:rsidRPr="3F18E9B9" w:rsidR="34288A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</w:t>
      </w:r>
      <w:r w:rsidRPr="3F18E9B9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F18E9B9" w:rsidR="3757F97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Reynolds Walker</w:t>
      </w:r>
      <w:r w:rsidRPr="3F18E9B9" w:rsidR="6C62E51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management team</w:t>
      </w:r>
      <w:r w:rsidRPr="3F18E9B9" w:rsidR="26846E0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with cross-cultural communication barriers</w:t>
      </w:r>
      <w:r w:rsidRPr="3F18E9B9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Briefly mention the justification for this plan.</w:t>
      </w:r>
      <w:r w:rsidRPr="3F18E9B9" w:rsidR="1435578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2154DF70" w:rsidP="2154DF70" w:rsidRDefault="2154DF70" w14:paraId="38DA61CD" w14:textId="48E770C8">
      <w:pPr>
        <w:pStyle w:val="Normal"/>
        <w:spacing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80E657D" w:rsidP="362C2891" w:rsidRDefault="380E657D" w14:paraId="56B89EEE" w14:textId="42D91AE0">
      <w:pPr>
        <w:spacing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62C2891" w:rsidR="380E657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Summary</w:t>
      </w:r>
    </w:p>
    <w:p w:rsidR="380E657D" w:rsidP="2154DF70" w:rsidRDefault="380E657D" w14:paraId="03911C71" w14:textId="37DB0E52">
      <w:pPr>
        <w:spacing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74561EB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 this section, </w:t>
      </w:r>
      <w:r w:rsidRPr="574561EB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provide</w:t>
      </w:r>
      <w:r w:rsidRPr="574561EB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background of the issues being addressed. Highlight the key points that will be discussed in the memo without going into detail. </w:t>
      </w:r>
      <w:r w:rsidRPr="574561EB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This should set the stage for the recommendations and should be linked back to the need for taking action.</w:t>
      </w:r>
    </w:p>
    <w:p w:rsidR="2154DF70" w:rsidP="2154DF70" w:rsidRDefault="2154DF70" w14:paraId="25A2AFEA" w14:textId="62A2D6AF">
      <w:pPr>
        <w:pStyle w:val="Normal"/>
        <w:spacing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80E657D" w:rsidP="362C2891" w:rsidRDefault="380E657D" w14:paraId="6C53DB28" w14:textId="0C2C5277">
      <w:pPr>
        <w:spacing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62C2891" w:rsidR="380E657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Discussion</w:t>
      </w:r>
    </w:p>
    <w:p w:rsidR="380E657D" w:rsidP="362C2891" w:rsidRDefault="380E657D" w14:paraId="7CC73C0B" w14:textId="21CCC63D">
      <w:pPr>
        <w:spacing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50AE41F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is where the bulk of the content will be. Start with an analysis of the </w:t>
      </w:r>
      <w:r w:rsidRPr="150AE41F" w:rsidR="2B53777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cross-cultural communication </w:t>
      </w:r>
      <w:r w:rsidRPr="150AE41F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challenges</w:t>
      </w:r>
      <w:r w:rsidRPr="150AE41F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150AE41F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providing</w:t>
      </w:r>
      <w:r w:rsidRPr="150AE41F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evidence from research or data to support your points. Discuss the implications of these challenges on the company’s operations and employee </w:t>
      </w:r>
      <w:r w:rsidRPr="150AE41F" w:rsidR="657A72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engagement</w:t>
      </w:r>
      <w:r w:rsidRPr="150AE41F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Keep the tone professional and avoid placing blame.</w:t>
      </w:r>
    </w:p>
    <w:p w:rsidR="2154DF70" w:rsidP="2154DF70" w:rsidRDefault="2154DF70" w14:paraId="4C768E0E" w14:textId="0D12FFE0">
      <w:pPr>
        <w:pStyle w:val="Normal"/>
        <w:spacing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80E657D" w:rsidP="362C2891" w:rsidRDefault="380E657D" w14:paraId="72FFAF5E" w14:textId="228C3A85">
      <w:pPr>
        <w:spacing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62C2891" w:rsidR="380E657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Recommendation</w:t>
      </w:r>
    </w:p>
    <w:p w:rsidR="380E657D" w:rsidP="2154DF70" w:rsidRDefault="380E657D" w14:paraId="331F00D9" w14:textId="639FDE55">
      <w:pPr>
        <w:spacing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74561EB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Finish the memo with your specific recommendations. State the immediate actions that should be taken and discuss any long-term strategies that could be beneficial. </w:t>
      </w:r>
      <w:r w:rsidRPr="574561EB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Explain how these actions can be implemented and the expected outcomes or improvements for the employees and the company as a whole.</w:t>
      </w:r>
    </w:p>
    <w:p w:rsidR="2154DF70" w:rsidP="2154DF70" w:rsidRDefault="2154DF70" w14:paraId="5B2B14CD" w14:textId="185CDCE2">
      <w:pPr>
        <w:pStyle w:val="Normal"/>
        <w:spacing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80E657D" w:rsidP="362C2891" w:rsidRDefault="380E657D" w14:paraId="27BABA25" w14:textId="67DB9EDB">
      <w:pPr>
        <w:spacing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62C2891" w:rsidR="380E657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Closing Remarks</w:t>
      </w:r>
    </w:p>
    <w:p w:rsidR="380E657D" w:rsidP="362C2891" w:rsidRDefault="380E657D" w14:paraId="39AA9F4E" w14:textId="272CB644">
      <w:pPr>
        <w:spacing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74561EB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End with a professional closure, inviting the executive team to contact you for further discussion or clarification </w:t>
      </w:r>
      <w:r w:rsidRPr="574561EB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</w:t>
      </w:r>
      <w:r w:rsidRPr="574561EB" w:rsidR="380E65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recommendations.</w:t>
      </w:r>
    </w:p>
    <w:p w:rsidR="2154DF70" w:rsidP="2154DF70" w:rsidRDefault="2154DF70" w14:paraId="51E8F07F" w14:textId="7E32DDB7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362C2891" w:rsidP="362C2891" w:rsidRDefault="362C2891" w14:paraId="1874FF59" w14:textId="5CD702C5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362C2891" w:rsidP="362C2891" w:rsidRDefault="362C2891" w14:paraId="2AE1E1CC" w14:textId="5F28CCF7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362C2891" w:rsidP="362C2891" w:rsidRDefault="362C2891" w14:paraId="013D9445" w14:textId="7915762D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362C2891" w:rsidP="362C2891" w:rsidRDefault="362C2891" w14:paraId="44E80587" w14:textId="34884CC5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362C2891" w:rsidP="362C2891" w:rsidRDefault="362C2891" w14:paraId="4A541173" w14:textId="0BCBDB68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362C2891" w:rsidP="362C2891" w:rsidRDefault="362C2891" w14:paraId="3FD6301A" w14:textId="70985912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362C2891" w:rsidP="362C2891" w:rsidRDefault="362C2891" w14:paraId="49552830" w14:textId="19CEF4F8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574561EB" w:rsidP="574561EB" w:rsidRDefault="574561EB" w14:paraId="6E06C8FB" w14:textId="01BFEAE1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362C2891" w:rsidP="362C2891" w:rsidRDefault="362C2891" w14:paraId="7F76B0A9" w14:textId="4D911934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362C2891" w:rsidP="362C2891" w:rsidRDefault="362C2891" w14:paraId="39622FAB" w14:textId="5A413FE4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362C2891" w:rsidP="362C2891" w:rsidRDefault="362C2891" w14:paraId="5302EAA0" w14:textId="4458D98D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2AE44C26" w:rsidP="2AE44C26" w:rsidRDefault="2AE44C26" w14:paraId="49880C5D" w14:textId="78AF9F4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AE44C26" w:rsidP="2AE44C26" w:rsidRDefault="2AE44C26" w14:paraId="22A8E839" w14:textId="4A23898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AE44C26" w:rsidP="2AE44C26" w:rsidRDefault="2AE44C26" w14:paraId="57FAA1CA" w14:textId="2C99A7B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3F18E9B9" w:rsidP="3F18E9B9" w:rsidRDefault="3F18E9B9" w14:paraId="3DA44D61" w14:textId="5EBC105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1AAA10C" w:rsidP="574561EB" w:rsidRDefault="11AAA10C" w14:paraId="52B158EF" w14:textId="3669885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574561EB" w:rsidR="11AAA10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References</w:t>
      </w:r>
    </w:p>
    <w:p w:rsidR="362C2891" w:rsidP="362C2891" w:rsidRDefault="362C2891" w14:paraId="0D768D7A" w14:textId="63CF1DC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3074900" w:rsidP="1CA00BF4" w:rsidRDefault="53074900" w14:paraId="0B136D6B" w14:textId="7E5B87A5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CA00BF4" w:rsidR="530749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[Add</w:t>
      </w:r>
      <w:r w:rsidRPr="1CA00BF4" w:rsidR="58E94B3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your </w:t>
      </w:r>
      <w:r w:rsidRPr="1CA00BF4" w:rsidR="58E94B3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selec</w:t>
      </w:r>
      <w:r w:rsidRPr="1CA00BF4" w:rsidR="58E94B3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ted</w:t>
      </w:r>
      <w:r w:rsidRPr="1CA00BF4" w:rsidR="530749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sources in APA format here. Alphabetical order, hanging indentation, no hyperlinks nor URLs</w:t>
      </w:r>
      <w:r w:rsidRPr="1CA00BF4" w:rsidR="3B0DDF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. </w:t>
      </w:r>
      <w:hyperlink r:id="R67037d32a48b47db">
        <w:r w:rsidRPr="1CA00BF4" w:rsidR="3B0DDFE1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>See this guide</w:t>
        </w:r>
      </w:hyperlink>
      <w:r w:rsidRPr="1CA00BF4" w:rsidR="3B0DDF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CA00BF4" w:rsidR="3B0DDF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with ex</w:t>
      </w:r>
      <w:r w:rsidRPr="1CA00BF4" w:rsidR="3B0DDF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amples and easy to follow instruction</w:t>
      </w:r>
      <w:r w:rsidRPr="1CA00BF4" w:rsidR="3B0DDF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 for APA 7</w:t>
      </w:r>
      <w:r w:rsidRPr="1CA00BF4" w:rsidR="150507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 This section needs to be on its own page and titled “Referen</w:t>
      </w:r>
      <w:r w:rsidRPr="1CA00BF4" w:rsidR="150507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ce</w:t>
      </w:r>
      <w:r w:rsidRPr="1CA00BF4" w:rsidR="150507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</w:t>
      </w:r>
      <w:r w:rsidRPr="1CA00BF4" w:rsidR="150507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”.</w:t>
      </w:r>
      <w:r w:rsidRPr="1CA00BF4" w:rsidR="530749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]</w:t>
      </w:r>
    </w:p>
    <w:p w:rsidR="1CA00BF4" w:rsidP="1CA00BF4" w:rsidRDefault="1CA00BF4" w14:paraId="681AD583" w14:textId="657D149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D085D94" w:rsidP="1CA00BF4" w:rsidRDefault="2D085D94" w14:paraId="741C2AF8" w14:textId="75608AE3">
      <w:pPr>
        <w:bidi w:val="0"/>
        <w:spacing w:before="0" w:beforeAutospacing="off" w:after="0" w:afterAutospacing="off"/>
        <w:ind w:left="720" w:right="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Dai, X., &amp; Chen, G.-M. (2022).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Conflict Management and Intercultural Communication: The Art of Intercultural Harmony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(Second edition). Routledge. </w:t>
      </w:r>
      <w:hyperlink r:id="Ra174d15859414502">
        <w:r w:rsidRPr="1CA00BF4" w:rsidR="2D085D9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https://doi.org/10.4324/9781003252955</w:t>
        </w:r>
      </w:hyperlink>
    </w:p>
    <w:p w:rsidR="1CA00BF4" w:rsidP="1CA00BF4" w:rsidRDefault="1CA00BF4" w14:paraId="398E8FB4" w14:textId="4422ED1F">
      <w:pPr>
        <w:bidi w:val="0"/>
        <w:spacing w:before="0" w:beforeAutospacing="off" w:after="0" w:afterAutospacing="off"/>
        <w:ind w:left="720" w:right="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D085D94" w:rsidP="1CA00BF4" w:rsidRDefault="2D085D94" w14:paraId="24B3B040" w14:textId="4E0A85DF">
      <w:pPr>
        <w:bidi w:val="0"/>
        <w:spacing w:after="0" w:line="240" w:lineRule="auto"/>
        <w:ind w:left="63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Gavin, M. (2019). 6 Tips for managing global and international teams.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Harvard Business Review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hyperlink r:id="R0161839d251e4ae5">
        <w:r w:rsidRPr="1CA00BF4" w:rsidR="2D085D9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https://online.hbs.edu/blog/post/how-to-manage-global-teams</w:t>
        </w:r>
      </w:hyperlink>
      <w:hyperlink r:id="R060343a1b3114396">
        <w:r w:rsidRPr="1CA00BF4" w:rsidR="2D085D9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EBC/1365265/bookReader?accountid=8361&amp;ppg=20</w:t>
        </w:r>
      </w:hyperlink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CA00BF4" w:rsidP="1CA00BF4" w:rsidRDefault="1CA00BF4" w14:paraId="1043D121" w14:textId="424E60C8">
      <w:pPr>
        <w:bidi w:val="0"/>
        <w:spacing w:after="0" w:line="240" w:lineRule="auto"/>
        <w:ind w:left="63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D085D94" w:rsidP="1CA00BF4" w:rsidRDefault="2D085D94" w14:paraId="4294F5FA" w14:textId="3BC6AC96">
      <w:pPr>
        <w:bidi w:val="0"/>
        <w:spacing w:before="0" w:beforeAutospacing="off" w:after="240" w:afterAutospacing="off"/>
        <w:ind w:left="567" w:right="0" w:hanging="56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Gelfand, M., Gordon, S., Li, C., Choi, V., &amp; Prokopowicz, P. (2021, September 17).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One reason mergers fail: The two cultures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aren’t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compatible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Harvard Business Review. </w:t>
      </w:r>
      <w:hyperlink r:id="R5202d52812fe4714">
        <w:r w:rsidRPr="1CA00BF4" w:rsidR="2D085D9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https://hbr.org/2018/10/one-reason-mergers-fail-the-two-cultures-arent-compatible</w:t>
        </w:r>
      </w:hyperlink>
    </w:p>
    <w:p w:rsidR="2D085D94" w:rsidP="1CA00BF4" w:rsidRDefault="2D085D94" w14:paraId="37E46F9E" w14:textId="40682B5C">
      <w:pPr>
        <w:bidi w:val="0"/>
        <w:spacing w:after="0" w:line="240" w:lineRule="auto"/>
        <w:ind w:left="63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Kwan, L. (2019). The collaboration blind spot.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Harvard Business Review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hyperlink r:id="R6b116900a8444818">
        <w:r w:rsidRPr="1CA00BF4" w:rsidR="2D085D9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https://hbr.org/2019/03/the-collaboration-blind-spot</w:t>
        </w:r>
      </w:hyperlink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CA00BF4" w:rsidP="1CA00BF4" w:rsidRDefault="1CA00BF4" w14:paraId="41C86314" w14:textId="7243C1E1">
      <w:pPr>
        <w:bidi w:val="0"/>
        <w:spacing w:after="0" w:line="240" w:lineRule="auto"/>
        <w:ind w:left="63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D085D94" w:rsidP="1CA00BF4" w:rsidRDefault="2D085D94" w14:paraId="7F02657C" w14:textId="3D5845F5">
      <w:pPr>
        <w:bidi w:val="0"/>
        <w:spacing w:after="0" w:line="240" w:lineRule="auto"/>
        <w:ind w:left="63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McIvor, M. (2022, July 22). How to give negative feedback in high-context cultures (like Japan).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Globis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Insights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hyperlink r:id="R8a73782b47df4df8">
        <w:r w:rsidRPr="1CA00BF4" w:rsidR="2D085D9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https://globisinsights.com/career-skills/communication/how-to-give-negative-feedback/</w:t>
        </w:r>
      </w:hyperlink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CA00BF4" w:rsidP="1CA00BF4" w:rsidRDefault="1CA00BF4" w14:paraId="593B2CC1" w14:textId="22BCD2EE">
      <w:pPr>
        <w:bidi w:val="0"/>
        <w:spacing w:after="0" w:line="240" w:lineRule="auto"/>
        <w:ind w:left="63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D085D94" w:rsidP="1CA00BF4" w:rsidRDefault="2D085D94" w14:paraId="18D99D45" w14:textId="671D8A29">
      <w:pPr>
        <w:bidi w:val="0"/>
        <w:spacing w:after="0" w:line="240" w:lineRule="auto"/>
        <w:ind w:left="63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Meyer, E. (2017).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Being the boss in Brussels, Boston, and Beijing: If you want to succeed,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you’ll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need to adapt.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Harvard Business Review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hyperlink r:id="R819d3d21a85b4adf">
        <w:r w:rsidRPr="1CA00BF4" w:rsidR="2D085D9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https://hbr.org/2017/07/being-the-boss-in-brussels-boston-and-beijing</w:t>
        </w:r>
      </w:hyperlink>
    </w:p>
    <w:p w:rsidR="1CA00BF4" w:rsidP="1CA00BF4" w:rsidRDefault="1CA00BF4" w14:paraId="56FF2974" w14:textId="6E51B52F">
      <w:pPr>
        <w:bidi w:val="0"/>
        <w:spacing w:after="0" w:line="240" w:lineRule="auto"/>
        <w:ind w:left="63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D085D94" w:rsidP="1CA00BF4" w:rsidRDefault="2D085D94" w14:paraId="73C57C7E" w14:textId="644D6302">
      <w:pPr>
        <w:bidi w:val="0"/>
        <w:spacing w:after="0" w:line="240" w:lineRule="auto"/>
        <w:ind w:left="63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*Meyer, E. (2014). The Needle, Not the Knife. In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culture map: Breaking through the invisible boundaries of global business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(1st ed., pp.195-218). PublicAffairs. </w:t>
      </w:r>
      <w:hyperlink r:id="R72cc204a623745cf">
        <w:r w:rsidRPr="1CA00BF4" w:rsidR="2D085D9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 xml:space="preserve">https://ebookcentral.proquest.com/lib/uark-ebooks/detail.action?pq-origsite=primo&amp;docID=1634787 </w:t>
        </w:r>
      </w:hyperlink>
    </w:p>
    <w:p w:rsidR="2D085D94" w:rsidP="1CA00BF4" w:rsidRDefault="2D085D94" w14:paraId="0090AA0A" w14:textId="422FAA34">
      <w:pPr>
        <w:bidi w:val="0"/>
        <w:spacing w:after="0" w:line="240" w:lineRule="auto"/>
        <w:ind w:left="144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78D4"/>
          <w:sz w:val="24"/>
          <w:szCs w:val="24"/>
          <w:lang w:val="en-US"/>
        </w:rPr>
      </w:pP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Please note pgs. 61-88 of this book are also helpful</w:t>
      </w:r>
    </w:p>
    <w:p w:rsidR="1CA00BF4" w:rsidP="1CA00BF4" w:rsidRDefault="1CA00BF4" w14:paraId="2757F1D0" w14:textId="7F782D2A">
      <w:pPr>
        <w:bidi w:val="0"/>
        <w:spacing w:after="0" w:line="240" w:lineRule="auto"/>
        <w:ind w:left="144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D085D94" w:rsidP="1CA00BF4" w:rsidRDefault="2D085D94" w14:paraId="689C9DFC" w14:textId="709802F5">
      <w:pPr>
        <w:bidi w:val="0"/>
        <w:spacing w:line="257" w:lineRule="auto"/>
        <w:ind w:left="72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Potrel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V. (2022, December 1)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Four tips for effectively managing multicultural teams.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Forbes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hyperlink r:id="R578f48bad567450b">
        <w:r w:rsidRPr="1CA00BF4" w:rsidR="2D085D9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https://www.forbes.com/sites/forbescommunicationscouncil/2022/12/01/four-tips-for-effectively-managing-multicultural-teams/?sh=444f52055821</w:t>
        </w:r>
      </w:hyperlink>
    </w:p>
    <w:p w:rsidR="2D085D94" w:rsidP="1CA00BF4" w:rsidRDefault="2D085D94" w14:paraId="13B0CFD2" w14:textId="4A25FC71">
      <w:pPr>
        <w:bidi w:val="0"/>
        <w:spacing w:before="0" w:beforeAutospacing="off" w:after="0" w:afterAutospacing="off" w:line="240" w:lineRule="auto"/>
        <w:ind w:left="567" w:right="0" w:hanging="56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Soontornchaiya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P., &amp;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Charoensukmongkol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P. (2024a). Interaction effect of management communication and workplace formalization on shared goals and commitment of employees during post-merger and Acquisition Integration.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International Journal of Business Communication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hyperlink r:id="R9e223c5522f44bbd">
        <w:r w:rsidRPr="1CA00BF4" w:rsidR="2D085D9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https://doi.org/10.1177/23294884241235661</w:t>
        </w:r>
      </w:hyperlink>
    </w:p>
    <w:p w:rsidR="1CA00BF4" w:rsidP="1CA00BF4" w:rsidRDefault="1CA00BF4" w14:paraId="5E2DD932" w14:textId="73EFBC29">
      <w:pPr>
        <w:bidi w:val="0"/>
        <w:spacing w:before="0" w:beforeAutospacing="off" w:after="0" w:afterAutospacing="off" w:line="240" w:lineRule="auto"/>
        <w:ind w:left="567" w:right="0" w:hanging="56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D085D94" w:rsidP="1CA00BF4" w:rsidRDefault="2D085D94" w14:paraId="76EB758E" w14:textId="700EB475">
      <w:pPr>
        <w:bidi w:val="0"/>
        <w:spacing w:before="0" w:beforeAutospacing="off" w:after="0" w:afterAutospacing="off" w:line="240" w:lineRule="auto"/>
        <w:ind w:left="72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Stahl, A. (2021, December 21). 3 benefits of diversity in the workplace.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Forbes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hyperlink r:id="Rb559a725e04e4360">
        <w:r w:rsidRPr="1CA00BF4" w:rsidR="2D085D9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https://www.forbes.com/sites/ashleystahl/2021/12/17/3-benefits-of-diversity-in-the-workplace/?sh=7d9e486222ed</w:t>
        </w:r>
      </w:hyperlink>
    </w:p>
    <w:p w:rsidR="1CA00BF4" w:rsidP="1CA00BF4" w:rsidRDefault="1CA00BF4" w14:paraId="65957166" w14:textId="6F26EA05">
      <w:pPr>
        <w:bidi w:val="0"/>
        <w:spacing w:before="0" w:beforeAutospacing="off" w:after="0" w:afterAutospacing="off" w:line="240" w:lineRule="auto"/>
        <w:ind w:left="72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D085D94" w:rsidP="1CA00BF4" w:rsidRDefault="2D085D94" w14:paraId="5713C91B" w14:textId="254C3402">
      <w:pPr>
        <w:bidi w:val="0"/>
        <w:spacing w:before="0" w:beforeAutospacing="off" w:after="0" w:afterAutospacing="off" w:line="240" w:lineRule="auto"/>
        <w:ind w:left="72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Yamada, H. (2023).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Different games, different rules: why Americans and Japanese misunderstand each other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Oxford University Press. </w:t>
      </w:r>
      <w:hyperlink r:id="Rd35b987943a14722">
        <w:r w:rsidRPr="1CA00BF4" w:rsidR="2D085D9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https://doi.org/10.1093/oso/9780195094886.001.0001</w:t>
        </w:r>
      </w:hyperlink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CA00BF4" w:rsidP="1CA00BF4" w:rsidRDefault="1CA00BF4" w14:paraId="6243BFA2" w14:textId="728A3879">
      <w:pPr>
        <w:bidi w:val="0"/>
        <w:spacing w:after="0" w:line="240" w:lineRule="auto"/>
        <w:ind w:left="72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D085D94" w:rsidP="1CA00BF4" w:rsidRDefault="2D085D94" w14:paraId="3DF7B4E3" w14:textId="0C467B90">
      <w:pPr>
        <w:bidi w:val="0"/>
        <w:spacing w:before="0" w:beforeAutospacing="off" w:after="240" w:afterAutospacing="off"/>
        <w:ind w:left="567" w:right="0" w:hanging="56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Zagelmeyer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S., Sinkovics, R. R., Sinkovics, N., &amp;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Kusstatscher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V. (2016). Exploring the link between management communication and emotions in mergers and acquisitions.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Canadian Journal of Administrative Sciences / Revue Canadienne Des Sciences de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l’Administration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35</w:t>
      </w:r>
      <w:r w:rsidRPr="1CA00BF4" w:rsidR="2D085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(1), 93–106. </w:t>
      </w:r>
      <w:hyperlink r:id="Rb6db44ddfbd7456a">
        <w:r w:rsidRPr="1CA00BF4" w:rsidR="2D085D9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https://doi.org/10.1002/cjas.1382</w:t>
        </w:r>
      </w:hyperlink>
    </w:p>
    <w:p w:rsidR="1CA00BF4" w:rsidP="1CA00BF4" w:rsidRDefault="1CA00BF4" w14:paraId="00FFAE26" w14:textId="040CB2D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dUqJb4N" int2:invalidationBookmarkName="" int2:hashCode="qkpfgSXyNBguLe" int2:id="Z8NXD2B1">
      <int2:state int2:type="AugLoop_Text_Critique" int2:value="Rejected"/>
    </int2:bookmark>
    <int2:bookmark int2:bookmarkName="_Int_qLtlHMuF" int2:invalidationBookmarkName="" int2:hashCode="Q/+3cYO6ku7PU5" int2:id="vTEwDqlr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7271C4"/>
    <w:rsid w:val="03123A56"/>
    <w:rsid w:val="03678946"/>
    <w:rsid w:val="03D6E996"/>
    <w:rsid w:val="0B2ED2C7"/>
    <w:rsid w:val="0B6358CC"/>
    <w:rsid w:val="11AAA10C"/>
    <w:rsid w:val="131206F3"/>
    <w:rsid w:val="1435578B"/>
    <w:rsid w:val="15050718"/>
    <w:rsid w:val="150AE41F"/>
    <w:rsid w:val="172F9310"/>
    <w:rsid w:val="1A430B4E"/>
    <w:rsid w:val="1A430B4E"/>
    <w:rsid w:val="1AC8FA33"/>
    <w:rsid w:val="1B81B8E5"/>
    <w:rsid w:val="1CA00BF4"/>
    <w:rsid w:val="2154DF70"/>
    <w:rsid w:val="22F0AFD1"/>
    <w:rsid w:val="2392B05D"/>
    <w:rsid w:val="23D0C537"/>
    <w:rsid w:val="26846E06"/>
    <w:rsid w:val="27C5581A"/>
    <w:rsid w:val="29919747"/>
    <w:rsid w:val="2995A5AB"/>
    <w:rsid w:val="2AE44C26"/>
    <w:rsid w:val="2AFF4448"/>
    <w:rsid w:val="2B3AC715"/>
    <w:rsid w:val="2B537777"/>
    <w:rsid w:val="2D085D94"/>
    <w:rsid w:val="2DB85CF5"/>
    <w:rsid w:val="3004E72F"/>
    <w:rsid w:val="301A6E02"/>
    <w:rsid w:val="3175D3B5"/>
    <w:rsid w:val="33EC82E5"/>
    <w:rsid w:val="34288A34"/>
    <w:rsid w:val="362C2891"/>
    <w:rsid w:val="3757F97B"/>
    <w:rsid w:val="380E657D"/>
    <w:rsid w:val="3B0DDFE1"/>
    <w:rsid w:val="3CBC9E3C"/>
    <w:rsid w:val="3D800CEF"/>
    <w:rsid w:val="3F18E9B9"/>
    <w:rsid w:val="4138A685"/>
    <w:rsid w:val="4503CDB9"/>
    <w:rsid w:val="47BF203D"/>
    <w:rsid w:val="49372BD5"/>
    <w:rsid w:val="4DC45C6E"/>
    <w:rsid w:val="502B946A"/>
    <w:rsid w:val="52A60623"/>
    <w:rsid w:val="53074900"/>
    <w:rsid w:val="530D6B9F"/>
    <w:rsid w:val="5349F110"/>
    <w:rsid w:val="54F5B8B1"/>
    <w:rsid w:val="574561EB"/>
    <w:rsid w:val="57EB484E"/>
    <w:rsid w:val="58E94B3F"/>
    <w:rsid w:val="591EC8C4"/>
    <w:rsid w:val="59E42236"/>
    <w:rsid w:val="64BB2086"/>
    <w:rsid w:val="657A727E"/>
    <w:rsid w:val="68AD3EF6"/>
    <w:rsid w:val="69536782"/>
    <w:rsid w:val="6A83790C"/>
    <w:rsid w:val="6C62E51E"/>
    <w:rsid w:val="70801B50"/>
    <w:rsid w:val="70A4E0A8"/>
    <w:rsid w:val="749CB49E"/>
    <w:rsid w:val="76B8AAF7"/>
    <w:rsid w:val="7898D5B5"/>
    <w:rsid w:val="78E70823"/>
    <w:rsid w:val="791A1952"/>
    <w:rsid w:val="7A82D884"/>
    <w:rsid w:val="7B76212E"/>
    <w:rsid w:val="7B76212E"/>
    <w:rsid w:val="7E7271C4"/>
    <w:rsid w:val="7EADC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71C4"/>
  <w15:chartTrackingRefBased/>
  <w15:docId w15:val="{7FDF66FB-E47B-4459-85E5-0D24A73998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d882f02d3fdf4a08" /><Relationship Type="http://schemas.microsoft.com/office/2011/relationships/commentsExtended" Target="commentsExtended.xml" Id="R86ae9e433c114314" /><Relationship Type="http://schemas.microsoft.com/office/2016/09/relationships/commentsIds" Target="commentsIds.xml" Id="R13da8501414c4ebb" /><Relationship Type="http://schemas.microsoft.com/office/2020/10/relationships/intelligence" Target="intelligence2.xml" Id="Rcf3522abe6824503" /><Relationship Type="http://schemas.openxmlformats.org/officeDocument/2006/relationships/hyperlink" Target="https://www.bibliography.com/apa/how-to-write-an-apa-bibliography/" TargetMode="External" Id="R67037d32a48b47db" /><Relationship Type="http://schemas.openxmlformats.org/officeDocument/2006/relationships/hyperlink" Target="https://doi.org/10.4324/9781003252955" TargetMode="External" Id="Ra174d15859414502" /><Relationship Type="http://schemas.openxmlformats.org/officeDocument/2006/relationships/hyperlink" Target="https://online.hbs.edu/blog/post/how-to-manage-global-teams" TargetMode="External" Id="R0161839d251e4ae5" /><Relationship Type="http://schemas.openxmlformats.org/officeDocument/2006/relationships/hyperlink" Target="https://search.proquest.com/legacydocview/EBC/1365265/bookReader?accountid=8361&amp;ppg=20" TargetMode="External" Id="R060343a1b3114396" /><Relationship Type="http://schemas.openxmlformats.org/officeDocument/2006/relationships/hyperlink" Target="https://hbr.org/2018/10/one-reason-mergers-fail-the-two-cultures-arent-compatible" TargetMode="External" Id="R5202d52812fe4714" /><Relationship Type="http://schemas.openxmlformats.org/officeDocument/2006/relationships/hyperlink" Target="https://hbr.org/2019/03/the-collaboration-blind-spot" TargetMode="External" Id="R6b116900a8444818" /><Relationship Type="http://schemas.openxmlformats.org/officeDocument/2006/relationships/hyperlink" Target="https://globisinsights.com/career-skills/communication/how-to-give-negative-feedback/" TargetMode="External" Id="R8a73782b47df4df8" /><Relationship Type="http://schemas.openxmlformats.org/officeDocument/2006/relationships/hyperlink" Target="https://hbr.org/2017/07/being-the-boss-in-brussels-boston-and-beijing" TargetMode="External" Id="R819d3d21a85b4adf" /><Relationship Type="http://schemas.openxmlformats.org/officeDocument/2006/relationships/hyperlink" Target="https://ebookcentral.proquest.com/lib/uark-ebooks/detail.action?pq-origsite=primo&amp;docID=1634787" TargetMode="External" Id="R72cc204a623745cf" /><Relationship Type="http://schemas.openxmlformats.org/officeDocument/2006/relationships/hyperlink" Target="https://www.forbes.com/sites/forbescommunicationscouncil/2022/12/01/four-tips-for-effectively-managing-multicultural-teams/?sh=444f52055821" TargetMode="External" Id="R578f48bad567450b" /><Relationship Type="http://schemas.openxmlformats.org/officeDocument/2006/relationships/hyperlink" Target="https://doi.org/10.1177/23294884241235661" TargetMode="External" Id="R9e223c5522f44bbd" /><Relationship Type="http://schemas.openxmlformats.org/officeDocument/2006/relationships/hyperlink" Target="https://www.forbes.com/sites/ashleystahl/2021/12/17/3-benefits-of-diversity-in-the-workplace/?sh=7d9e486222ed" TargetMode="External" Id="Rb559a725e04e4360" /><Relationship Type="http://schemas.openxmlformats.org/officeDocument/2006/relationships/hyperlink" Target="https://doi.org/10.1093/oso/9780195094886.001.0001" TargetMode="External" Id="Rd35b987943a14722" /><Relationship Type="http://schemas.openxmlformats.org/officeDocument/2006/relationships/hyperlink" Target="https://doi.org/10.1002/cjas.1382" TargetMode="External" Id="Rb6db44ddfbd745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1DE6E8ED2547807ED54F834BB7B2" ma:contentTypeVersion="18" ma:contentTypeDescription="Create a new document." ma:contentTypeScope="" ma:versionID="0a82bf8b47c7753f878dfe98ff36f72b">
  <xsd:schema xmlns:xsd="http://www.w3.org/2001/XMLSchema" xmlns:xs="http://www.w3.org/2001/XMLSchema" xmlns:p="http://schemas.microsoft.com/office/2006/metadata/properties" xmlns:ns2="a2ae1e0f-7a25-4324-b1a1-b9718d29f714" xmlns:ns3="360be762-edbb-4d24-8bbd-68858f4fc910" targetNamespace="http://schemas.microsoft.com/office/2006/metadata/properties" ma:root="true" ma:fieldsID="bf09f651f709541bc3b9983e6a4f89d3" ns2:_="" ns3:_="">
    <xsd:import namespace="a2ae1e0f-7a25-4324-b1a1-b9718d29f714"/>
    <xsd:import namespace="360be762-edbb-4d24-8bbd-68858f4fc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1e0f-7a25-4324-b1a1-b9718d29f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e762-edbb-4d24-8bbd-68858f4fc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4b5caa-e1cf-40e2-94c2-2dda76981249}" ma:internalName="TaxCatchAll" ma:showField="CatchAllData" ma:web="360be762-edbb-4d24-8bbd-68858f4fc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e1e0f-7a25-4324-b1a1-b9718d29f714">
      <Terms xmlns="http://schemas.microsoft.com/office/infopath/2007/PartnerControls"/>
    </lcf76f155ced4ddcb4097134ff3c332f>
    <TaxCatchAll xmlns="360be762-edbb-4d24-8bbd-68858f4fc910" xsi:nil="true"/>
  </documentManagement>
</p:properties>
</file>

<file path=customXml/itemProps1.xml><?xml version="1.0" encoding="utf-8"?>
<ds:datastoreItem xmlns:ds="http://schemas.openxmlformats.org/officeDocument/2006/customXml" ds:itemID="{058B86E4-054A-42D0-9D05-E2A8EBDB8366}"/>
</file>

<file path=customXml/itemProps2.xml><?xml version="1.0" encoding="utf-8"?>
<ds:datastoreItem xmlns:ds="http://schemas.openxmlformats.org/officeDocument/2006/customXml" ds:itemID="{67761B8F-990F-4DA8-BDB9-E79B938CB561}"/>
</file>

<file path=customXml/itemProps3.xml><?xml version="1.0" encoding="utf-8"?>
<ds:datastoreItem xmlns:ds="http://schemas.openxmlformats.org/officeDocument/2006/customXml" ds:itemID="{1CAB855D-7A85-4420-8E4C-B6FFF4244F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Joaquin Gavilano</dc:creator>
  <keywords/>
  <dc:description/>
  <lastModifiedBy>Ryan Sheets</lastModifiedBy>
  <dcterms:created xsi:type="dcterms:W3CDTF">2023-11-07T18:41:16.0000000Z</dcterms:created>
  <dcterms:modified xsi:type="dcterms:W3CDTF">2025-01-30T22:01:19.8698136Z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0x010100DC7F1DE6E8ED2547807ED54F834BB7B2</vt:lpwstr>
  </property>
  <property fmtid="{D5CDD505-2E9C-101B-9397-08002B2CF9AE}" pid="3" name="MediaServiceImageTags">
    <vt:lpwstr/>
  </property>
</Properties>
</file>