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CE0" w:rsidRDefault="0084485D" w:rsidP="00DC3264">
      <w:pPr>
        <w:pStyle w:val="Heading2"/>
        <w:numPr>
          <w:ilvl w:val="0"/>
          <w:numId w:val="0"/>
        </w:numPr>
        <w:ind w:left="720" w:hanging="720"/>
      </w:pPr>
      <w:bookmarkStart w:id="0" w:name="_Toc200783117"/>
      <w:bookmarkStart w:id="1" w:name="_Toc206844425"/>
      <w:bookmarkStart w:id="2" w:name="_Toc231881945"/>
      <w:bookmarkStart w:id="3" w:name="_Toc231963342"/>
      <w:bookmarkStart w:id="4" w:name="_Toc232846760"/>
      <w:bookmarkStart w:id="5" w:name="_Toc234227400"/>
      <w:bookmarkStart w:id="6" w:name="_Toc255203968"/>
      <w:bookmarkStart w:id="7" w:name="_Toc255207800"/>
      <w:bookmarkStart w:id="8" w:name="_Toc255549488"/>
      <w:bookmarkStart w:id="9" w:name="_Toc255810466"/>
      <w:bookmarkStart w:id="10" w:name="_Toc255894716"/>
      <w:r>
        <w:t>SASEG</w:t>
      </w:r>
      <w:r w:rsidR="00870900">
        <w:t xml:space="preserve"> </w:t>
      </w:r>
      <w:bookmarkEnd w:id="0"/>
      <w:bookmarkEnd w:id="1"/>
      <w:bookmarkEnd w:id="2"/>
      <w:bookmarkEnd w:id="3"/>
      <w:bookmarkEnd w:id="4"/>
      <w:bookmarkEnd w:id="5"/>
      <w:bookmarkEnd w:id="6"/>
      <w:bookmarkEnd w:id="7"/>
      <w:bookmarkEnd w:id="8"/>
      <w:bookmarkEnd w:id="9"/>
      <w:bookmarkEnd w:id="10"/>
      <w:r w:rsidR="00813745">
        <w:t xml:space="preserve">6B </w:t>
      </w:r>
      <w:r w:rsidR="00E23EF5">
        <w:t>–</w:t>
      </w:r>
      <w:r w:rsidR="00870900">
        <w:t xml:space="preserve"> </w:t>
      </w:r>
      <w:r w:rsidR="00E23EF5">
        <w:t xml:space="preserve">Introduction to </w:t>
      </w:r>
      <w:r w:rsidR="006A6668">
        <w:t xml:space="preserve">Analysis of Variance (ANOVA) </w:t>
      </w: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Pr>
        <w:jc w:val="center"/>
      </w:pPr>
    </w:p>
    <w:p w:rsidR="007E5BE2" w:rsidRDefault="00EA42C3" w:rsidP="00EA42C3">
      <w:pPr>
        <w:jc w:val="center"/>
      </w:pPr>
      <w:r>
        <w:t>(</w:t>
      </w:r>
      <w:r w:rsidR="0083340F">
        <w:t>Fall</w:t>
      </w:r>
      <w:r w:rsidR="00F3727D">
        <w:t xml:space="preserve"> 201</w:t>
      </w:r>
      <w:r w:rsidR="0083340F">
        <w:t>5</w:t>
      </w:r>
      <w:r>
        <w:t>)</w:t>
      </w:r>
    </w:p>
    <w:p w:rsidR="00EA42C3" w:rsidRDefault="00EA42C3" w:rsidP="00EA42C3">
      <w:pPr>
        <w:jc w:val="center"/>
      </w:pPr>
    </w:p>
    <w:p w:rsidR="00EA42C3" w:rsidRDefault="00EA42C3" w:rsidP="00EA42C3">
      <w:pPr>
        <w:jc w:val="center"/>
      </w:pPr>
    </w:p>
    <w:p w:rsidR="00EA42C3" w:rsidRDefault="00EA42C3" w:rsidP="00EA42C3">
      <w:pPr>
        <w:jc w:val="center"/>
      </w:pPr>
    </w:p>
    <w:p w:rsidR="00EA42C3" w:rsidRDefault="00EA42C3" w:rsidP="00EA42C3"/>
    <w:p w:rsidR="00EA42C3" w:rsidRDefault="00EA42C3" w:rsidP="00EA42C3"/>
    <w:p w:rsidR="00EA42C3" w:rsidRDefault="00EA42C3" w:rsidP="00EA42C3">
      <w:pPr>
        <w:rPr>
          <w:b/>
        </w:rPr>
      </w:pPr>
      <w:r>
        <w:rPr>
          <w:b/>
          <w:u w:val="single"/>
        </w:rPr>
        <w:t>Sources</w:t>
      </w:r>
      <w:r>
        <w:rPr>
          <w:b/>
        </w:rPr>
        <w:t xml:space="preserve"> </w:t>
      </w:r>
      <w:r>
        <w:t>(adapted with permission)</w:t>
      </w:r>
      <w:r>
        <w:rPr>
          <w:b/>
        </w:rPr>
        <w:t>-</w:t>
      </w:r>
    </w:p>
    <w:p w:rsidR="00EA42C3" w:rsidRDefault="00EA42C3" w:rsidP="00EA42C3">
      <w:pPr>
        <w:pStyle w:val="NoSpacing"/>
      </w:pPr>
      <w:r>
        <w:t>T. P. Cronan, Jeff Mullins,</w:t>
      </w:r>
      <w:r w:rsidR="0083340F">
        <w:t xml:space="preserve"> Ron Freeze</w:t>
      </w:r>
      <w:r>
        <w:t xml:space="preserve"> and David E. Douglas Course and Classroom Notes</w:t>
      </w:r>
    </w:p>
    <w:p w:rsidR="00EA42C3" w:rsidRDefault="00EA42C3" w:rsidP="00EA42C3">
      <w:pPr>
        <w:pStyle w:val="NoSpacing"/>
      </w:pPr>
      <w:r>
        <w:t>Enterprise Systems, Sam M. Walton College of Business, University of Arkansas, Fayetteville</w:t>
      </w:r>
    </w:p>
    <w:p w:rsidR="00EA42C3" w:rsidRDefault="00EA42C3" w:rsidP="00EA42C3">
      <w:pPr>
        <w:pStyle w:val="NoSpacing"/>
      </w:pPr>
      <w:r>
        <w:t>Microsoft Enterprise Consortium</w:t>
      </w:r>
    </w:p>
    <w:p w:rsidR="00EA42C3" w:rsidRDefault="00EA42C3" w:rsidP="00EA42C3">
      <w:pPr>
        <w:pStyle w:val="NoSpacing"/>
      </w:pPr>
      <w:r>
        <w:t>IBM Academic Initiative</w:t>
      </w:r>
    </w:p>
    <w:p w:rsidR="00EA42C3" w:rsidRDefault="00EA42C3" w:rsidP="00EA42C3">
      <w:pPr>
        <w:pStyle w:val="NoSpacing"/>
      </w:pPr>
      <w:r>
        <w:t>SAS</w:t>
      </w:r>
      <w:r>
        <w:rPr>
          <w:vertAlign w:val="superscript"/>
        </w:rPr>
        <w:t>®</w:t>
      </w:r>
      <w:r>
        <w:t xml:space="preserve"> Multivariate Statistics Course Notes &amp; Workshop, 2010  </w:t>
      </w:r>
    </w:p>
    <w:p w:rsidR="00EA42C3" w:rsidRDefault="00EA42C3" w:rsidP="00EA42C3">
      <w:pPr>
        <w:pStyle w:val="NoSpacing"/>
      </w:pPr>
      <w:r>
        <w:t>SAS</w:t>
      </w:r>
      <w:r>
        <w:rPr>
          <w:vertAlign w:val="superscript"/>
        </w:rPr>
        <w:t>®</w:t>
      </w:r>
      <w:r>
        <w:t xml:space="preserve"> Advanced Business Analytics Course Notes &amp; Workshop, 2010</w:t>
      </w:r>
    </w:p>
    <w:p w:rsidR="00EA42C3" w:rsidRDefault="00EA42C3" w:rsidP="00EA42C3">
      <w:pPr>
        <w:pStyle w:val="NoSpacing"/>
      </w:pPr>
      <w:r>
        <w:t>Microsoft</w:t>
      </w:r>
      <w:r>
        <w:rPr>
          <w:vertAlign w:val="superscript"/>
        </w:rPr>
        <w:t>®</w:t>
      </w:r>
      <w:r>
        <w:t xml:space="preserve"> Notes</w:t>
      </w:r>
    </w:p>
    <w:p w:rsidR="00EA42C3" w:rsidRDefault="00EA42C3" w:rsidP="00EA42C3">
      <w:pPr>
        <w:pStyle w:val="NoSpacing"/>
      </w:pPr>
      <w:r>
        <w:t>Teradata</w:t>
      </w:r>
      <w:r>
        <w:rPr>
          <w:vertAlign w:val="superscript"/>
        </w:rPr>
        <w:t>®</w:t>
      </w:r>
      <w:r>
        <w:t xml:space="preserve"> University Network</w:t>
      </w:r>
    </w:p>
    <w:p w:rsidR="00EA42C3" w:rsidRDefault="00EA42C3" w:rsidP="00EA42C3">
      <w:pPr>
        <w:pStyle w:val="NoSpacing"/>
      </w:pPr>
    </w:p>
    <w:p w:rsidR="00EA42C3" w:rsidRDefault="00F8573D" w:rsidP="00EA42C3">
      <w:pPr>
        <w:pStyle w:val="NoSpacing"/>
        <w:rPr>
          <w:i/>
        </w:rPr>
      </w:pP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rsidR="00EA42C3" w:rsidRPr="007E5BE2" w:rsidRDefault="00EA42C3" w:rsidP="00EA42C3">
      <w:pPr>
        <w:rPr>
          <w:i/>
        </w:rPr>
      </w:pPr>
    </w:p>
    <w:p w:rsidR="00267508" w:rsidRPr="00267508" w:rsidRDefault="00267508" w:rsidP="00870900">
      <w:pPr>
        <w:pStyle w:val="Heading2"/>
        <w:numPr>
          <w:ilvl w:val="0"/>
          <w:numId w:val="0"/>
        </w:numPr>
      </w:pPr>
      <w:bookmarkStart w:id="11" w:name="_Toc200783118"/>
      <w:bookmarkStart w:id="12" w:name="_Toc206844429"/>
      <w:bookmarkStart w:id="13" w:name="_Toc231881949"/>
      <w:bookmarkStart w:id="14" w:name="_Toc231963346"/>
      <w:bookmarkStart w:id="15" w:name="_Toc232846764"/>
      <w:bookmarkStart w:id="16" w:name="_Toc234227404"/>
      <w:bookmarkStart w:id="17" w:name="_Toc255203972"/>
      <w:bookmarkStart w:id="18" w:name="_Toc255207804"/>
      <w:bookmarkStart w:id="19" w:name="_Toc255549492"/>
      <w:bookmarkStart w:id="20" w:name="_Toc255810470"/>
      <w:bookmarkStart w:id="21" w:name="_Toc255894720"/>
      <w:r>
        <w:lastRenderedPageBreak/>
        <w:t>One-Way ANOVA</w:t>
      </w:r>
      <w:bookmarkEnd w:id="11"/>
      <w:bookmarkEnd w:id="12"/>
      <w:bookmarkEnd w:id="13"/>
      <w:bookmarkEnd w:id="14"/>
      <w:bookmarkEnd w:id="15"/>
      <w:bookmarkEnd w:id="16"/>
      <w:bookmarkEnd w:id="17"/>
      <w:bookmarkEnd w:id="18"/>
      <w:bookmarkEnd w:id="19"/>
      <w:bookmarkEnd w:id="20"/>
      <w:bookmarkEnd w:id="21"/>
    </w:p>
    <w:p w:rsidR="00007CF5" w:rsidRDefault="00B75C00" w:rsidP="00D92D8B">
      <w:pPr>
        <w:pStyle w:val="PowerPointslide"/>
      </w:pPr>
      <w:bookmarkStart w:id="22" w:name="Slide_275"/>
      <w:r w:rsidRPr="00D92D8B">
        <w:rPr>
          <w:noProof/>
        </w:rPr>
        <w:drawing>
          <wp:inline distT="0" distB="0" distL="0" distR="0">
            <wp:extent cx="4117340" cy="3086735"/>
            <wp:effectExtent l="19050" t="19050" r="1651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2"/>
    </w:p>
    <w:p w:rsidR="00007CF5" w:rsidRDefault="00B75C00" w:rsidP="00D92D8B">
      <w:pPr>
        <w:pStyle w:val="PowerPointslide"/>
        <w:keepNext/>
      </w:pPr>
      <w:bookmarkStart w:id="23" w:name="Slide_276"/>
      <w:r w:rsidRPr="00D92D8B">
        <w:rPr>
          <w:noProof/>
        </w:rPr>
        <w:drawing>
          <wp:inline distT="0" distB="0" distL="0" distR="0">
            <wp:extent cx="4117340" cy="3086735"/>
            <wp:effectExtent l="19050" t="19050" r="1651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3"/>
    </w:p>
    <w:p w:rsidR="00007CF5" w:rsidRDefault="00007CF5">
      <w:pPr>
        <w:keepLines/>
      </w:pPr>
      <w:r w:rsidRPr="00235CC9">
        <w:rPr>
          <w:b/>
          <w:i/>
        </w:rPr>
        <w:t>Analysis of variance</w:t>
      </w:r>
      <w:r w:rsidRPr="00235CC9">
        <w:rPr>
          <w:b/>
        </w:rPr>
        <w:t xml:space="preserve"> (ANOVA) is a statistical technique used to compare the means of two or more groups of observations or treatments.</w:t>
      </w:r>
      <w:r>
        <w:t xml:space="preserve"> For this type of problem, you have a</w:t>
      </w:r>
      <w:r w:rsidR="00FD1DD0" w:rsidRPr="002F585E">
        <w:rPr>
          <w:sz w:val="4"/>
        </w:rPr>
        <w:fldChar w:fldCharType="begin"/>
      </w:r>
      <w:r w:rsidRPr="002F585E">
        <w:rPr>
          <w:sz w:val="4"/>
        </w:rPr>
        <w:instrText>xe "analysis of variance (ANOVA)"</w:instrText>
      </w:r>
      <w:r w:rsidR="00FD1DD0" w:rsidRPr="002F585E">
        <w:rPr>
          <w:sz w:val="4"/>
        </w:rPr>
        <w:fldChar w:fldCharType="end"/>
      </w:r>
    </w:p>
    <w:p w:rsidR="00007CF5" w:rsidRDefault="00007CF5" w:rsidP="00434DF4">
      <w:pPr>
        <w:pStyle w:val="BulletedNormal"/>
      </w:pPr>
      <w:r>
        <w:t xml:space="preserve">continuous dependent variable, or </w:t>
      </w:r>
      <w:r>
        <w:rPr>
          <w:i/>
        </w:rPr>
        <w:t>response</w:t>
      </w:r>
      <w:r>
        <w:t xml:space="preserve"> variable</w:t>
      </w:r>
    </w:p>
    <w:p w:rsidR="00007CF5" w:rsidRDefault="00007CF5" w:rsidP="00434DF4">
      <w:pPr>
        <w:pStyle w:val="BulletedNormal"/>
      </w:pPr>
      <w:r>
        <w:t xml:space="preserve">discrete independent variable also called a </w:t>
      </w:r>
      <w:r>
        <w:rPr>
          <w:i/>
        </w:rPr>
        <w:t>predictor</w:t>
      </w:r>
      <w:r>
        <w:t xml:space="preserve"> or </w:t>
      </w:r>
      <w:r>
        <w:rPr>
          <w:i/>
        </w:rPr>
        <w:t>explanatory</w:t>
      </w:r>
      <w:r>
        <w:t xml:space="preserve"> variable.</w:t>
      </w:r>
    </w:p>
    <w:p w:rsidR="00007CF5" w:rsidRDefault="00B75C00" w:rsidP="00D92D8B">
      <w:pPr>
        <w:pStyle w:val="PowerPointslide"/>
      </w:pPr>
      <w:bookmarkStart w:id="24" w:name="Slide_277"/>
      <w:r w:rsidRPr="00D92D8B">
        <w:rPr>
          <w:noProof/>
        </w:rPr>
        <w:lastRenderedPageBreak/>
        <w:drawing>
          <wp:inline distT="0" distB="0" distL="0" distR="0">
            <wp:extent cx="4117340" cy="3086735"/>
            <wp:effectExtent l="19050" t="19050" r="1651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4"/>
    </w:p>
    <w:p w:rsidR="00B56EF2" w:rsidRPr="00B56EF2" w:rsidRDefault="00984043" w:rsidP="00B56EF2">
      <w:r w:rsidRPr="00235CC9">
        <w:rPr>
          <w:b/>
        </w:rPr>
        <w:t xml:space="preserve">A </w:t>
      </w:r>
      <w:r w:rsidRPr="00235CC9">
        <w:rPr>
          <w:b/>
          <w:i/>
        </w:rPr>
        <w:t>t</w:t>
      </w:r>
      <w:r w:rsidRPr="00235CC9">
        <w:rPr>
          <w:b/>
        </w:rPr>
        <w:t>-test</w:t>
      </w:r>
      <w:r w:rsidR="00B56EF2" w:rsidRPr="00235CC9">
        <w:rPr>
          <w:b/>
        </w:rPr>
        <w:t xml:space="preserve"> </w:t>
      </w:r>
      <w:r w:rsidR="008419A5" w:rsidRPr="00235CC9">
        <w:rPr>
          <w:b/>
        </w:rPr>
        <w:t xml:space="preserve">can be thought of as a </w:t>
      </w:r>
      <w:r w:rsidR="00B56EF2" w:rsidRPr="00235CC9">
        <w:rPr>
          <w:b/>
        </w:rPr>
        <w:t>special case of ANOVA</w:t>
      </w:r>
      <w:r w:rsidR="00B56EF2">
        <w:t xml:space="preserve">: if you analyze the difference between means using ANOVA, you get the same results as with a </w:t>
      </w:r>
      <w:r w:rsidR="00B56EF2" w:rsidRPr="00984043">
        <w:rPr>
          <w:i/>
        </w:rPr>
        <w:t>t</w:t>
      </w:r>
      <w:r>
        <w:t>-</w:t>
      </w:r>
      <w:r w:rsidR="00B56EF2">
        <w:t xml:space="preserve">test. It </w:t>
      </w:r>
      <w:r w:rsidR="008419A5">
        <w:t xml:space="preserve">just </w:t>
      </w:r>
      <w:r>
        <w:t xml:space="preserve">looks different in the output. </w:t>
      </w:r>
      <w:r w:rsidR="001F34BE">
        <w:t>Performing a two-group mean comparison test in the Linear Models task</w:t>
      </w:r>
      <w:r w:rsidR="00B56EF2">
        <w:t xml:space="preserve"> gives you access to different graphical and assessment tools </w:t>
      </w:r>
      <w:r w:rsidR="00BC7884">
        <w:t>than</w:t>
      </w:r>
      <w:r w:rsidR="001F34BE">
        <w:t xml:space="preserve"> performing it in the t</w:t>
      </w:r>
      <w:r w:rsidR="00791BB2">
        <w:t xml:space="preserve"> </w:t>
      </w:r>
      <w:r w:rsidR="001F34BE">
        <w:t>Test task</w:t>
      </w:r>
      <w:r w:rsidR="00B56EF2">
        <w:t>.</w:t>
      </w:r>
    </w:p>
    <w:p w:rsidR="00DB4A9A" w:rsidRDefault="00B75C00" w:rsidP="00D92D8B">
      <w:pPr>
        <w:pStyle w:val="PowerPointslide"/>
        <w:keepNext/>
        <w:keepLines/>
        <w:widowControl/>
      </w:pPr>
      <w:bookmarkStart w:id="25" w:name="Slide_278"/>
      <w:r w:rsidRPr="00D92D8B">
        <w:rPr>
          <w:noProof/>
        </w:rPr>
        <w:drawing>
          <wp:inline distT="0" distB="0" distL="0" distR="0">
            <wp:extent cx="4117340" cy="3086735"/>
            <wp:effectExtent l="19050" t="19050" r="1651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5"/>
    </w:p>
    <w:p w:rsidR="00B56EF2" w:rsidRPr="00B56EF2" w:rsidRDefault="00B56EF2" w:rsidP="009F4AFE">
      <w:pPr>
        <w:keepLines/>
      </w:pPr>
      <w:r>
        <w:t xml:space="preserve">When there are three or more levels for the grouping variable, a simple approach is to run a series of </w:t>
      </w:r>
      <w:r w:rsidRPr="00AE7595">
        <w:rPr>
          <w:i/>
        </w:rPr>
        <w:t>t</w:t>
      </w:r>
      <w:r w:rsidR="00984043">
        <w:noBreakHyphen/>
      </w:r>
      <w:r>
        <w:t xml:space="preserve">tests between all the pairs of levels. For example, </w:t>
      </w:r>
      <w:r w:rsidR="00984043">
        <w:t>you</w:t>
      </w:r>
      <w:r>
        <w:t xml:space="preserve"> might be interested in T-cell counts in patients taking three medica</w:t>
      </w:r>
      <w:r w:rsidR="00984043">
        <w:t xml:space="preserve">tions (including one placebo). You </w:t>
      </w:r>
      <w:r>
        <w:t xml:space="preserve">could simply run a </w:t>
      </w:r>
      <w:r w:rsidRPr="00984043">
        <w:rPr>
          <w:i/>
        </w:rPr>
        <w:t>t</w:t>
      </w:r>
      <w:r w:rsidR="00984043">
        <w:t>-</w:t>
      </w:r>
      <w:r>
        <w:t xml:space="preserve">test for each pair of medications. A more powerful approach is to analyze all the data </w:t>
      </w:r>
      <w:r w:rsidR="0093682F">
        <w:t>simultaneously</w:t>
      </w:r>
      <w:r>
        <w:t xml:space="preserve">. The model is the same, but it is now called a one-way analysis of variance (ANOVA), and the test statistic is the </w:t>
      </w:r>
      <w:r w:rsidRPr="00984043">
        <w:rPr>
          <w:i/>
        </w:rPr>
        <w:t>F</w:t>
      </w:r>
      <w:r>
        <w:t xml:space="preserve"> ratio, rather than the Student’s </w:t>
      </w:r>
      <w:r w:rsidRPr="00984043">
        <w:rPr>
          <w:i/>
        </w:rPr>
        <w:t>t</w:t>
      </w:r>
      <w:r>
        <w:t xml:space="preserve"> value.</w:t>
      </w:r>
    </w:p>
    <w:p w:rsidR="00007CF5" w:rsidRDefault="00B75C00" w:rsidP="00D92D8B">
      <w:pPr>
        <w:pStyle w:val="PowerPointslide"/>
      </w:pPr>
      <w:bookmarkStart w:id="26" w:name="Slide_279"/>
      <w:r w:rsidRPr="00D92D8B">
        <w:rPr>
          <w:noProof/>
        </w:rPr>
        <w:lastRenderedPageBreak/>
        <w:drawing>
          <wp:inline distT="0" distB="0" distL="0" distR="0">
            <wp:extent cx="4117340" cy="3086735"/>
            <wp:effectExtent l="19050" t="19050" r="1651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6"/>
    </w:p>
    <w:p w:rsidR="00007CF5" w:rsidRDefault="00B75C00" w:rsidP="00D92D8B">
      <w:pPr>
        <w:pStyle w:val="PowerPointslide"/>
      </w:pPr>
      <w:bookmarkStart w:id="27" w:name="Slide_280"/>
      <w:r w:rsidRPr="00D92D8B">
        <w:rPr>
          <w:noProof/>
        </w:rPr>
        <w:drawing>
          <wp:inline distT="0" distB="0" distL="0" distR="0">
            <wp:extent cx="4117340" cy="3086735"/>
            <wp:effectExtent l="19050" t="19050" r="1651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7"/>
    </w:p>
    <w:p w:rsidR="001900D1" w:rsidRPr="001900D1" w:rsidRDefault="00B75C00" w:rsidP="00D92D8B">
      <w:pPr>
        <w:pStyle w:val="PowerPointslide"/>
        <w:keepNext/>
        <w:keepLines/>
        <w:widowControl/>
      </w:pPr>
      <w:bookmarkStart w:id="28" w:name="Slide_281"/>
      <w:r w:rsidRPr="00D92D8B">
        <w:rPr>
          <w:noProof/>
        </w:rPr>
        <w:drawing>
          <wp:inline distT="0" distB="0" distL="0" distR="0">
            <wp:extent cx="4117340" cy="3086735"/>
            <wp:effectExtent l="19050" t="19050" r="1651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28"/>
    </w:p>
    <w:p w:rsidR="00007CF5" w:rsidRDefault="00C6648A" w:rsidP="009F4AFE">
      <w:pPr>
        <w:keepNext/>
        <w:keepLines/>
        <w:ind w:left="1008" w:hanging="1008"/>
        <w:rPr>
          <w:rFonts w:ascii="Century Schoolbook" w:hAnsi="Century Schoolbook"/>
          <w:sz w:val="21"/>
        </w:rPr>
      </w:pPr>
      <w:r w:rsidRPr="00235CC9">
        <w:rPr>
          <w:b/>
          <w:u w:val="single"/>
        </w:rPr>
        <w:t>Example:</w:t>
      </w:r>
      <w:r>
        <w:tab/>
      </w:r>
      <w:r w:rsidR="003B00BA" w:rsidRPr="00235CC9">
        <w:rPr>
          <w:i/>
        </w:rPr>
        <w:t xml:space="preserve">Christin </w:t>
      </w:r>
      <w:r w:rsidR="00FD4721" w:rsidRPr="00235CC9">
        <w:rPr>
          <w:i/>
        </w:rPr>
        <w:t xml:space="preserve">and Nicole </w:t>
      </w:r>
      <w:r w:rsidR="009372F4" w:rsidRPr="00235CC9">
        <w:rPr>
          <w:i/>
        </w:rPr>
        <w:t xml:space="preserve">own Montana Gourmet </w:t>
      </w:r>
      <w:r w:rsidR="00A36DD5" w:rsidRPr="00235CC9">
        <w:rPr>
          <w:i/>
        </w:rPr>
        <w:t>Garlic, a company that grows garlic using organic methods</w:t>
      </w:r>
      <w:r w:rsidR="009372F4" w:rsidRPr="00235CC9">
        <w:rPr>
          <w:i/>
        </w:rPr>
        <w:t xml:space="preserve">. </w:t>
      </w:r>
      <w:r w:rsidR="00D130A3" w:rsidRPr="00235CC9">
        <w:rPr>
          <w:i/>
        </w:rPr>
        <w:t>They specialize in hardneck varieties</w:t>
      </w:r>
      <w:r w:rsidR="00FD4721" w:rsidRPr="00235CC9">
        <w:rPr>
          <w:i/>
        </w:rPr>
        <w:t xml:space="preserve">. Knowing a little about experimental methods, they </w:t>
      </w:r>
      <w:r w:rsidR="00BB0194" w:rsidRPr="00235CC9">
        <w:rPr>
          <w:i/>
        </w:rPr>
        <w:t xml:space="preserve">design an experiment </w:t>
      </w:r>
      <w:r w:rsidR="00FD4721" w:rsidRPr="00235CC9">
        <w:rPr>
          <w:i/>
        </w:rPr>
        <w:t xml:space="preserve">to </w:t>
      </w:r>
      <w:r w:rsidR="00976C49" w:rsidRPr="00235CC9">
        <w:rPr>
          <w:i/>
        </w:rPr>
        <w:t>test</w:t>
      </w:r>
      <w:r w:rsidR="00FD4721" w:rsidRPr="00235CC9">
        <w:rPr>
          <w:i/>
        </w:rPr>
        <w:t xml:space="preserve"> </w:t>
      </w:r>
      <w:r w:rsidR="00A36DD5" w:rsidRPr="00235CC9">
        <w:rPr>
          <w:i/>
        </w:rPr>
        <w:t>whether</w:t>
      </w:r>
      <w:r w:rsidR="00FD4721" w:rsidRPr="00235CC9">
        <w:rPr>
          <w:i/>
        </w:rPr>
        <w:t xml:space="preserve"> </w:t>
      </w:r>
      <w:r w:rsidR="00843914" w:rsidRPr="00235CC9">
        <w:rPr>
          <w:i/>
        </w:rPr>
        <w:t>growth of the garlic is affected by the type of fertilizer used</w:t>
      </w:r>
      <w:r w:rsidRPr="00235CC9">
        <w:rPr>
          <w:i/>
        </w:rPr>
        <w:t xml:space="preserve">. </w:t>
      </w:r>
      <w:r w:rsidR="00843914" w:rsidRPr="00235CC9">
        <w:rPr>
          <w:i/>
        </w:rPr>
        <w:t>The</w:t>
      </w:r>
      <w:r w:rsidRPr="00235CC9">
        <w:rPr>
          <w:i/>
        </w:rPr>
        <w:t>y</w:t>
      </w:r>
      <w:r w:rsidR="00843914" w:rsidRPr="00235CC9">
        <w:rPr>
          <w:i/>
        </w:rPr>
        <w:t xml:space="preserve"> limit their experimentation to a Rocambol</w:t>
      </w:r>
      <w:r w:rsidRPr="00235CC9">
        <w:rPr>
          <w:i/>
        </w:rPr>
        <w:t xml:space="preserve">e variety called Spanish Roja. </w:t>
      </w:r>
      <w:r w:rsidR="008217CE" w:rsidRPr="00235CC9">
        <w:rPr>
          <w:i/>
        </w:rPr>
        <w:t>They test three different organic fertilizers and one chemical fertilizer (as a control). They blind themselves to the fertilizer</w:t>
      </w:r>
      <w:r w:rsidR="00CD78B6" w:rsidRPr="00235CC9">
        <w:rPr>
          <w:i/>
        </w:rPr>
        <w:t xml:space="preserve"> (in other words,</w:t>
      </w:r>
      <w:r w:rsidR="00062570" w:rsidRPr="00235CC9">
        <w:rPr>
          <w:i/>
        </w:rPr>
        <w:t xml:space="preserve"> they design the experiment in such a way that they do not even know which fertilizer is in which container)</w:t>
      </w:r>
      <w:r w:rsidR="008217CE" w:rsidRPr="00235CC9">
        <w:rPr>
          <w:i/>
        </w:rPr>
        <w:t xml:space="preserve"> by using containers with numbers 1 through 4. </w:t>
      </w:r>
      <w:r w:rsidR="00340338" w:rsidRPr="00235CC9">
        <w:rPr>
          <w:i/>
        </w:rPr>
        <w:t>One acre of farmland is set aside for the experiment. It is d</w:t>
      </w:r>
      <w:r w:rsidR="00CD78B6" w:rsidRPr="00235CC9">
        <w:rPr>
          <w:i/>
        </w:rPr>
        <w:t xml:space="preserve">ivided into </w:t>
      </w:r>
      <w:r w:rsidR="00434DF4" w:rsidRPr="00235CC9">
        <w:rPr>
          <w:i/>
        </w:rPr>
        <w:br/>
      </w:r>
      <w:r w:rsidR="00CD78B6" w:rsidRPr="00235CC9">
        <w:rPr>
          <w:i/>
        </w:rPr>
        <w:t xml:space="preserve">32 beds. </w:t>
      </w:r>
      <w:r w:rsidR="00FD4721" w:rsidRPr="00235CC9">
        <w:rPr>
          <w:i/>
        </w:rPr>
        <w:t>They randomly assign fertilizers to beds</w:t>
      </w:r>
      <w:r w:rsidR="00340338" w:rsidRPr="00235CC9">
        <w:rPr>
          <w:i/>
        </w:rPr>
        <w:t>. At harvest,</w:t>
      </w:r>
      <w:r w:rsidR="00FD4721" w:rsidRPr="00235CC9">
        <w:rPr>
          <w:i/>
        </w:rPr>
        <w:t xml:space="preserve"> they calculate the average weight of garlic</w:t>
      </w:r>
      <w:r w:rsidR="00174950" w:rsidRPr="00235CC9">
        <w:rPr>
          <w:i/>
        </w:rPr>
        <w:t xml:space="preserve"> bulbs in each of the beds. </w:t>
      </w:r>
      <w:r w:rsidR="00D130A3" w:rsidRPr="00235CC9">
        <w:rPr>
          <w:i/>
        </w:rPr>
        <w:t xml:space="preserve">The data </w:t>
      </w:r>
      <w:r w:rsidR="00CD78B6" w:rsidRPr="00235CC9">
        <w:rPr>
          <w:i/>
        </w:rPr>
        <w:t xml:space="preserve">is </w:t>
      </w:r>
      <w:r w:rsidR="00D130A3" w:rsidRPr="00235CC9">
        <w:rPr>
          <w:i/>
        </w:rPr>
        <w:t xml:space="preserve">in the </w:t>
      </w:r>
      <w:r w:rsidR="00174950" w:rsidRPr="00235CC9">
        <w:rPr>
          <w:rFonts w:ascii="Courier New" w:hAnsi="Courier New" w:cs="Courier New"/>
          <w:b/>
          <w:i/>
          <w:kern w:val="0"/>
        </w:rPr>
        <w:t>MGGarlic</w:t>
      </w:r>
      <w:r w:rsidR="00174950" w:rsidRPr="00235CC9">
        <w:rPr>
          <w:i/>
        </w:rPr>
        <w:t xml:space="preserve"> </w:t>
      </w:r>
      <w:r w:rsidR="00D130A3" w:rsidRPr="00235CC9">
        <w:rPr>
          <w:i/>
        </w:rPr>
        <w:t>data set.</w:t>
      </w:r>
    </w:p>
    <w:p w:rsidR="00007CF5" w:rsidRDefault="00007CF5">
      <w:pPr>
        <w:keepNext/>
        <w:keepLines/>
        <w:widowControl w:val="0"/>
        <w:rPr>
          <w:rFonts w:ascii="Century Schoolbook" w:hAnsi="Century Schoolbook"/>
          <w:sz w:val="21"/>
        </w:rPr>
      </w:pPr>
      <w:r>
        <w:t>The variables in the data set are</w:t>
      </w:r>
    </w:p>
    <w:p w:rsidR="00D130A3" w:rsidRDefault="00D130A3" w:rsidP="00D130A3">
      <w:pPr>
        <w:keepLines/>
        <w:widowControl w:val="0"/>
        <w:tabs>
          <w:tab w:val="left" w:pos="1440"/>
        </w:tabs>
      </w:pPr>
      <w:r>
        <w:rPr>
          <w:rFonts w:ascii="Courier New" w:hAnsi="Courier New"/>
          <w:b/>
          <w:kern w:val="0"/>
        </w:rPr>
        <w:t>Fertilizer</w:t>
      </w:r>
      <w:r>
        <w:tab/>
        <w:t>The type o</w:t>
      </w:r>
      <w:r w:rsidR="0012736C">
        <w:t>f fertilizer used (1 through 4)</w:t>
      </w:r>
    </w:p>
    <w:p w:rsidR="00D130A3" w:rsidRDefault="00D130A3" w:rsidP="00D130A3">
      <w:pPr>
        <w:keepLines/>
        <w:widowControl w:val="0"/>
        <w:tabs>
          <w:tab w:val="left" w:pos="1440"/>
        </w:tabs>
      </w:pPr>
      <w:r>
        <w:rPr>
          <w:rFonts w:ascii="Courier New" w:hAnsi="Courier New"/>
          <w:b/>
          <w:kern w:val="0"/>
        </w:rPr>
        <w:t>BulbWt</w:t>
      </w:r>
      <w:r>
        <w:tab/>
        <w:t>The average garlic bulb weight</w:t>
      </w:r>
      <w:r w:rsidR="00E07BA1">
        <w:t xml:space="preserve"> (in pounds)</w:t>
      </w:r>
      <w:r w:rsidR="0012736C">
        <w:t xml:space="preserve"> in the bed</w:t>
      </w:r>
    </w:p>
    <w:p w:rsidR="004F658C" w:rsidRDefault="004F658C" w:rsidP="004F658C">
      <w:pPr>
        <w:keepLines/>
        <w:widowControl w:val="0"/>
        <w:tabs>
          <w:tab w:val="left" w:pos="1440"/>
        </w:tabs>
      </w:pPr>
      <w:r>
        <w:rPr>
          <w:rFonts w:ascii="Courier New" w:hAnsi="Courier New"/>
          <w:b/>
          <w:kern w:val="0"/>
        </w:rPr>
        <w:t>Cloves</w:t>
      </w:r>
      <w:r>
        <w:tab/>
        <w:t>The averag</w:t>
      </w:r>
      <w:r w:rsidR="0012736C">
        <w:t>e number of cloves on each bulb</w:t>
      </w:r>
    </w:p>
    <w:p w:rsidR="004F658C" w:rsidRDefault="004F658C" w:rsidP="004F658C">
      <w:pPr>
        <w:keepLines/>
        <w:widowControl w:val="0"/>
        <w:tabs>
          <w:tab w:val="left" w:pos="1440"/>
        </w:tabs>
      </w:pPr>
      <w:r>
        <w:rPr>
          <w:rFonts w:ascii="Courier New" w:hAnsi="Courier New"/>
          <w:b/>
          <w:kern w:val="0"/>
        </w:rPr>
        <w:t>BedID</w:t>
      </w:r>
      <w:r>
        <w:tab/>
        <w:t xml:space="preserve">A randomly assigned bed </w:t>
      </w:r>
      <w:r w:rsidR="009B57D8">
        <w:t>identification number</w:t>
      </w:r>
    </w:p>
    <w:p w:rsidR="001502FC" w:rsidRDefault="001502FC" w:rsidP="001502FC"/>
    <w:p w:rsidR="001502FC" w:rsidRDefault="00235CC9" w:rsidP="001502FC">
      <w:pPr>
        <w:pStyle w:val="HeadingDemo"/>
        <w:pageBreakBefore/>
      </w:pPr>
      <w:bookmarkStart w:id="29" w:name="_Toc206844430"/>
      <w:bookmarkStart w:id="30" w:name="_Toc231881950"/>
      <w:bookmarkStart w:id="31" w:name="_Toc231963347"/>
      <w:bookmarkStart w:id="32" w:name="_Toc232846765"/>
      <w:bookmarkStart w:id="33" w:name="_Toc234227405"/>
      <w:bookmarkStart w:id="34" w:name="_Toc255203973"/>
      <w:bookmarkStart w:id="35" w:name="_Toc255207805"/>
      <w:bookmarkStart w:id="36" w:name="_Toc255549493"/>
      <w:bookmarkStart w:id="37" w:name="_Toc255810471"/>
      <w:bookmarkStart w:id="38" w:name="_Toc255894721"/>
      <w:r>
        <w:t xml:space="preserve">Exercise - </w:t>
      </w:r>
      <w:r w:rsidR="001502FC">
        <w:t>Descriptive Statistics across</w:t>
      </w:r>
      <w:r w:rsidR="00B75C00">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137160</wp:posOffset>
            </wp:positionV>
            <wp:extent cx="704215" cy="511810"/>
            <wp:effectExtent l="0" t="0" r="635" b="2540"/>
            <wp:wrapSquare wrapText="right"/>
            <wp:docPr id="39" name="Picture 39"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PowerServ\CourseGraphics\demo_ey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anchor>
        </w:drawing>
      </w:r>
      <w:r w:rsidR="001502FC">
        <w:t xml:space="preserve"> Groups</w:t>
      </w:r>
      <w:bookmarkEnd w:id="29"/>
      <w:bookmarkEnd w:id="30"/>
      <w:bookmarkEnd w:id="31"/>
      <w:bookmarkEnd w:id="32"/>
      <w:bookmarkEnd w:id="33"/>
      <w:bookmarkEnd w:id="34"/>
      <w:bookmarkEnd w:id="35"/>
      <w:bookmarkEnd w:id="36"/>
      <w:bookmarkEnd w:id="37"/>
      <w:bookmarkEnd w:id="38"/>
    </w:p>
    <w:p w:rsidR="001502FC" w:rsidRDefault="001502FC" w:rsidP="001502FC"/>
    <w:p w:rsidR="002C1C03" w:rsidRDefault="00932FB2" w:rsidP="0012736C">
      <w:r>
        <w:t xml:space="preserve">Obtain summary statistics and a box and whisker plot for the </w:t>
      </w:r>
      <w:r w:rsidRPr="00932FB2">
        <w:rPr>
          <w:rFonts w:ascii="Courier New" w:hAnsi="Courier New" w:cs="Courier New"/>
          <w:b/>
          <w:kern w:val="0"/>
        </w:rPr>
        <w:t>MGGARLIC</w:t>
      </w:r>
      <w:r>
        <w:t xml:space="preserve"> data</w:t>
      </w:r>
      <w:r w:rsidR="00791BB2">
        <w:t xml:space="preserve"> </w:t>
      </w:r>
      <w:r>
        <w:t>set</w:t>
      </w:r>
      <w:r w:rsidR="005C6976">
        <w:t>.</w:t>
      </w:r>
    </w:p>
    <w:p w:rsidR="00932FB2" w:rsidRDefault="00932FB2" w:rsidP="00106AF5">
      <w:pPr>
        <w:numPr>
          <w:ilvl w:val="0"/>
          <w:numId w:val="18"/>
        </w:numPr>
      </w:pPr>
      <w:r>
        <w:t xml:space="preserve">Open the </w:t>
      </w:r>
      <w:r w:rsidRPr="00932FB2">
        <w:rPr>
          <w:rFonts w:ascii="Courier New" w:hAnsi="Courier New" w:cs="Courier New"/>
          <w:b/>
          <w:kern w:val="0"/>
        </w:rPr>
        <w:t>MGGARLIC</w:t>
      </w:r>
      <w:r>
        <w:t xml:space="preserve"> data</w:t>
      </w:r>
      <w:r w:rsidR="00791BB2">
        <w:t xml:space="preserve"> </w:t>
      </w:r>
      <w:r>
        <w:t>set.</w:t>
      </w:r>
    </w:p>
    <w:p w:rsidR="00932FB2" w:rsidRDefault="00B75C00" w:rsidP="00932FB2">
      <w:pPr>
        <w:ind w:left="360"/>
      </w:pPr>
      <w:r>
        <w:rPr>
          <w:noProof/>
        </w:rPr>
        <w:drawing>
          <wp:inline distT="0" distB="0" distL="0" distR="0">
            <wp:extent cx="5449570" cy="1839595"/>
            <wp:effectExtent l="19050" t="19050" r="1778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9570" cy="1839595"/>
                    </a:xfrm>
                    <a:prstGeom prst="rect">
                      <a:avLst/>
                    </a:prstGeom>
                    <a:noFill/>
                    <a:ln w="6350" cmpd="sng">
                      <a:solidFill>
                        <a:srgbClr val="000000"/>
                      </a:solidFill>
                      <a:miter lim="800000"/>
                      <a:headEnd/>
                      <a:tailEnd/>
                    </a:ln>
                    <a:effectLst/>
                  </pic:spPr>
                </pic:pic>
              </a:graphicData>
            </a:graphic>
          </wp:inline>
        </w:drawing>
      </w:r>
    </w:p>
    <w:p w:rsidR="00932FB2" w:rsidRPr="00056E9C" w:rsidRDefault="002255AC" w:rsidP="00106AF5">
      <w:pPr>
        <w:numPr>
          <w:ilvl w:val="0"/>
          <w:numId w:val="18"/>
        </w:numPr>
      </w:pPr>
      <w:r>
        <w:t xml:space="preserve">Select </w:t>
      </w:r>
      <w:r w:rsidR="00A466F9" w:rsidRPr="0012736C">
        <w:rPr>
          <w:b/>
          <w:u w:val="single"/>
        </w:rPr>
        <w:t>Tasks</w:t>
      </w:r>
      <w:r w:rsidR="00A466F9">
        <w:t xml:space="preserve"> </w:t>
      </w:r>
      <w:r w:rsidR="00A466F9">
        <w:sym w:font="Wingdings" w:char="00F0"/>
      </w:r>
      <w:r w:rsidR="00A466F9">
        <w:t xml:space="preserve"> </w:t>
      </w:r>
      <w:r w:rsidR="00056E9C" w:rsidRPr="0012736C">
        <w:rPr>
          <w:b/>
          <w:u w:val="single"/>
        </w:rPr>
        <w:t>Describe</w:t>
      </w:r>
      <w:r w:rsidR="00056E9C">
        <w:t xml:space="preserve"> </w:t>
      </w:r>
      <w:r w:rsidR="00056E9C">
        <w:sym w:font="Wingdings" w:char="00F0"/>
      </w:r>
      <w:r w:rsidR="00056E9C">
        <w:t xml:space="preserve"> </w:t>
      </w:r>
      <w:r w:rsidR="00056E9C" w:rsidRPr="0012736C">
        <w:rPr>
          <w:b/>
          <w:u w:val="single"/>
        </w:rPr>
        <w:t>Summary Statistics…</w:t>
      </w:r>
      <w:r w:rsidR="0012736C" w:rsidRPr="0012736C">
        <w:t>.</w:t>
      </w:r>
    </w:p>
    <w:p w:rsidR="00056E9C" w:rsidRDefault="00056E9C" w:rsidP="00106AF5">
      <w:pPr>
        <w:numPr>
          <w:ilvl w:val="0"/>
          <w:numId w:val="18"/>
        </w:numPr>
      </w:pPr>
      <w:r>
        <w:t xml:space="preserve">Select </w:t>
      </w:r>
      <w:r w:rsidRPr="0012736C">
        <w:rPr>
          <w:b/>
          <w:u w:val="single"/>
        </w:rPr>
        <w:t>BulbWeight</w:t>
      </w:r>
      <w:r>
        <w:t xml:space="preserve"> as the </w:t>
      </w:r>
      <w:r w:rsidR="0012736C">
        <w:t>a</w:t>
      </w:r>
      <w:r>
        <w:t xml:space="preserve">nalysis variable and </w:t>
      </w:r>
      <w:r w:rsidRPr="0012736C">
        <w:rPr>
          <w:b/>
          <w:u w:val="single"/>
        </w:rPr>
        <w:t>Fertilizer</w:t>
      </w:r>
      <w:r>
        <w:t xml:space="preserve"> </w:t>
      </w:r>
      <w:r w:rsidR="0012736C">
        <w:t>as the c</w:t>
      </w:r>
      <w:r>
        <w:t>lassification variable.</w:t>
      </w:r>
    </w:p>
    <w:p w:rsidR="00056E9C" w:rsidRDefault="00056E9C" w:rsidP="00106AF5">
      <w:pPr>
        <w:numPr>
          <w:ilvl w:val="0"/>
          <w:numId w:val="18"/>
        </w:numPr>
      </w:pPr>
      <w:r>
        <w:t xml:space="preserve">Under </w:t>
      </w:r>
      <w:r w:rsidRPr="005E78F4">
        <w:rPr>
          <w:rFonts w:ascii="Courier New" w:hAnsi="Courier New" w:cs="Courier New"/>
        </w:rPr>
        <w:t>Plots</w:t>
      </w:r>
      <w:r w:rsidR="005E78F4">
        <w:t>,</w:t>
      </w:r>
      <w:r>
        <w:t xml:space="preserve"> check </w:t>
      </w:r>
      <w:r w:rsidRPr="0012736C">
        <w:rPr>
          <w:b/>
          <w:u w:val="single"/>
        </w:rPr>
        <w:t>Box and whisker</w:t>
      </w:r>
      <w:r>
        <w:t>.</w:t>
      </w:r>
    </w:p>
    <w:p w:rsidR="00056E9C" w:rsidRDefault="00B75C00" w:rsidP="00056E9C">
      <w:pPr>
        <w:ind w:left="360"/>
      </w:pPr>
      <w:r>
        <w:rPr>
          <w:noProof/>
        </w:rPr>
        <w:drawing>
          <wp:inline distT="0" distB="0" distL="0" distR="0">
            <wp:extent cx="5676900" cy="3335020"/>
            <wp:effectExtent l="19050" t="19050" r="1905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6900" cy="3335020"/>
                    </a:xfrm>
                    <a:prstGeom prst="rect">
                      <a:avLst/>
                    </a:prstGeom>
                    <a:noFill/>
                    <a:ln w="6350" cmpd="sng">
                      <a:solidFill>
                        <a:srgbClr val="000000"/>
                      </a:solidFill>
                      <a:miter lim="800000"/>
                      <a:headEnd/>
                      <a:tailEnd/>
                    </a:ln>
                    <a:effectLst/>
                  </pic:spPr>
                </pic:pic>
              </a:graphicData>
            </a:graphic>
          </wp:inline>
        </w:drawing>
      </w:r>
    </w:p>
    <w:p w:rsidR="00056E9C" w:rsidRDefault="00056E9C" w:rsidP="00106AF5">
      <w:pPr>
        <w:keepNext/>
        <w:keepLines/>
        <w:numPr>
          <w:ilvl w:val="0"/>
          <w:numId w:val="18"/>
        </w:numPr>
      </w:pPr>
      <w:r>
        <w:t>Change tit</w:t>
      </w:r>
      <w:r w:rsidR="00791BB2">
        <w:t>les as desired and then click</w:t>
      </w:r>
      <w:r>
        <w:t xml:space="preserve"> </w:t>
      </w:r>
      <w:r w:rsidR="00B75C00" w:rsidRPr="007166C5">
        <w:rPr>
          <w:noProof/>
          <w:position w:val="-8"/>
        </w:rPr>
        <w:drawing>
          <wp:inline distT="0" distB="0" distL="0" distR="0">
            <wp:extent cx="713740" cy="2006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740" cy="200660"/>
                    </a:xfrm>
                    <a:prstGeom prst="rect">
                      <a:avLst/>
                    </a:prstGeom>
                    <a:noFill/>
                    <a:ln>
                      <a:noFill/>
                    </a:ln>
                  </pic:spPr>
                </pic:pic>
              </a:graphicData>
            </a:graphic>
          </wp:inline>
        </w:drawing>
      </w:r>
      <w:r>
        <w:t>.</w:t>
      </w:r>
    </w:p>
    <w:p w:rsidR="00F51EDC" w:rsidRDefault="00F51EDC" w:rsidP="00F51EDC">
      <w:pPr>
        <w:keepLines/>
        <w:widowControl w:val="0"/>
        <w:ind w:left="360"/>
        <w:jc w:val="center"/>
      </w:pPr>
      <w:r>
        <w:rPr>
          <w:noProof/>
        </w:rPr>
        <w:drawing>
          <wp:inline distT="0" distB="0" distL="0" distR="0">
            <wp:extent cx="3724275" cy="212111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724275" cy="2121110"/>
                    </a:xfrm>
                    <a:prstGeom prst="rect">
                      <a:avLst/>
                    </a:prstGeom>
                    <a:noFill/>
                    <a:ln w="9525">
                      <a:noFill/>
                      <a:miter lim="800000"/>
                      <a:headEnd/>
                      <a:tailEnd/>
                    </a:ln>
                  </pic:spPr>
                </pic:pic>
              </a:graphicData>
            </a:graphic>
          </wp:inline>
        </w:drawing>
      </w:r>
    </w:p>
    <w:p w:rsidR="003018DC" w:rsidRDefault="003018DC" w:rsidP="003018DC">
      <w:pPr>
        <w:keepLines/>
        <w:widowControl w:val="0"/>
        <w:ind w:left="360"/>
      </w:pPr>
      <w:r>
        <w:t xml:space="preserve">The means are somewhat different across </w:t>
      </w:r>
      <w:r w:rsidRPr="003018DC">
        <w:rPr>
          <w:rFonts w:ascii="Courier New" w:hAnsi="Courier New" w:cs="Courier New"/>
          <w:b/>
          <w:kern w:val="0"/>
        </w:rPr>
        <w:t>Fertilizer</w:t>
      </w:r>
      <w:r>
        <w:t xml:space="preserve"> values.</w:t>
      </w:r>
    </w:p>
    <w:p w:rsidR="00E07BA1" w:rsidRDefault="007166C5" w:rsidP="00434DF4">
      <w:pPr>
        <w:ind w:left="1080" w:hanging="720"/>
      </w:pPr>
      <w:r w:rsidRPr="007166C5">
        <w:rPr>
          <w:b/>
          <w:sz w:val="28"/>
        </w:rPr>
        <w:sym w:font="Wingdings" w:char="F021"/>
      </w:r>
      <w:r>
        <w:tab/>
      </w:r>
      <w:r w:rsidR="00E07BA1">
        <w:t xml:space="preserve">The design is not </w:t>
      </w:r>
      <w:r w:rsidR="00E07BA1" w:rsidRPr="00E07BA1">
        <w:rPr>
          <w:i/>
        </w:rPr>
        <w:t>balanced</w:t>
      </w:r>
      <w:r w:rsidR="00453756">
        <w:t xml:space="preserve">. </w:t>
      </w:r>
      <w:r w:rsidR="00E07BA1">
        <w:t>In other words, the groups are not equally sized.</w:t>
      </w:r>
    </w:p>
    <w:p w:rsidR="00E07BA1" w:rsidRPr="00E07BA1" w:rsidRDefault="00F51EDC" w:rsidP="00F51EDC">
      <w:pPr>
        <w:keepLines/>
        <w:widowControl w:val="0"/>
      </w:pPr>
      <w:r>
        <w:rPr>
          <w:noProof/>
        </w:rPr>
        <w:drawing>
          <wp:inline distT="0" distB="0" distL="0" distR="0">
            <wp:extent cx="5943600" cy="4819650"/>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43600" cy="4819650"/>
                    </a:xfrm>
                    <a:prstGeom prst="rect">
                      <a:avLst/>
                    </a:prstGeom>
                    <a:noFill/>
                    <a:ln w="9525">
                      <a:noFill/>
                      <a:miter lim="800000"/>
                      <a:headEnd/>
                      <a:tailEnd/>
                    </a:ln>
                  </pic:spPr>
                </pic:pic>
              </a:graphicData>
            </a:graphic>
          </wp:inline>
        </w:drawing>
      </w:r>
    </w:p>
    <w:p w:rsidR="00007CF5" w:rsidRDefault="00007CF5" w:rsidP="003018DC">
      <w:pPr>
        <w:keepLines/>
        <w:widowControl w:val="0"/>
        <w:ind w:left="360"/>
      </w:pPr>
      <w:r>
        <w:t xml:space="preserve">The box-and-whisker plots </w:t>
      </w:r>
      <w:r w:rsidR="00E07BA1">
        <w:t xml:space="preserve">do not provide much </w:t>
      </w:r>
      <w:r w:rsidR="00536EA9">
        <w:t xml:space="preserve">additional </w:t>
      </w:r>
      <w:r w:rsidR="00E07BA1">
        <w:t>information</w:t>
      </w:r>
      <w:r>
        <w:t>.</w:t>
      </w:r>
      <w:r w:rsidR="00453756">
        <w:t xml:space="preserve"> </w:t>
      </w:r>
      <w:r w:rsidR="00E07BA1">
        <w:t>There are simply too few observations per group for them to be very informative.</w:t>
      </w:r>
    </w:p>
    <w:p w:rsidR="00007CF5" w:rsidRDefault="00B75C00" w:rsidP="00D92D8B">
      <w:pPr>
        <w:pStyle w:val="PowerPointslide"/>
        <w:keepNext/>
        <w:keepLines/>
        <w:widowControl/>
      </w:pPr>
      <w:bookmarkStart w:id="39" w:name="Slide_283"/>
      <w:r w:rsidRPr="00D92D8B">
        <w:rPr>
          <w:noProof/>
        </w:rPr>
        <w:drawing>
          <wp:inline distT="0" distB="0" distL="0" distR="0">
            <wp:extent cx="4117340" cy="3086735"/>
            <wp:effectExtent l="19050" t="19050" r="1651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39"/>
    </w:p>
    <w:p w:rsidR="00007CF5" w:rsidRDefault="00007CF5">
      <w:pPr>
        <w:keepNext/>
        <w:keepLines/>
        <w:numPr>
          <w:ilvl w:val="12"/>
          <w:numId w:val="0"/>
        </w:numPr>
      </w:pPr>
      <w:r>
        <w:t>Small differences between sample means are usually present. The objective is to determine whether these differences are significant. In other words, is the difference more than what might be expected to occur by chance?</w:t>
      </w:r>
    </w:p>
    <w:p w:rsidR="00007CF5" w:rsidRDefault="00007CF5">
      <w:pPr>
        <w:keepLines/>
        <w:numPr>
          <w:ilvl w:val="12"/>
          <w:numId w:val="0"/>
        </w:numPr>
      </w:pPr>
      <w:r>
        <w:t>The assumptions for ANOVA are</w:t>
      </w:r>
    </w:p>
    <w:p w:rsidR="00007CF5" w:rsidRDefault="00007CF5">
      <w:pPr>
        <w:pStyle w:val="BulletedNormal"/>
        <w:keepLines/>
      </w:pPr>
      <w:r>
        <w:t>independent observations</w:t>
      </w:r>
    </w:p>
    <w:p w:rsidR="00007CF5" w:rsidRDefault="00007CF5">
      <w:pPr>
        <w:pStyle w:val="BulletedNormal"/>
        <w:keepLines/>
      </w:pPr>
      <w:r>
        <w:t>normally distributed error for each treatment</w:t>
      </w:r>
    </w:p>
    <w:p w:rsidR="00007CF5" w:rsidRDefault="00007CF5">
      <w:pPr>
        <w:pStyle w:val="BulletedNormal"/>
        <w:keepLines/>
      </w:pPr>
      <w:r>
        <w:t xml:space="preserve">equal error variances </w:t>
      </w:r>
      <w:r w:rsidR="00F41469">
        <w:t>across</w:t>
      </w:r>
      <w:r>
        <w:t xml:space="preserve"> treatment</w:t>
      </w:r>
      <w:r w:rsidR="00F41469">
        <w:t>s</w:t>
      </w:r>
      <w:r>
        <w:t>.</w:t>
      </w:r>
    </w:p>
    <w:p w:rsidR="007650A3" w:rsidRDefault="00B75C00" w:rsidP="00D92D8B">
      <w:pPr>
        <w:pStyle w:val="PowerPointslide"/>
        <w:keepNext/>
        <w:keepLines/>
        <w:widowControl/>
      </w:pPr>
      <w:bookmarkStart w:id="40" w:name="Slide_284"/>
      <w:r w:rsidRPr="00D92D8B">
        <w:rPr>
          <w:noProof/>
        </w:rPr>
        <w:drawing>
          <wp:inline distT="0" distB="0" distL="0" distR="0">
            <wp:extent cx="4117340" cy="3086735"/>
            <wp:effectExtent l="19050" t="19050" r="1651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40"/>
    </w:p>
    <w:p w:rsidR="007650A3" w:rsidRPr="00235CC9" w:rsidRDefault="007650A3" w:rsidP="007650A3">
      <w:pPr>
        <w:keepNext/>
        <w:keepLines/>
        <w:rPr>
          <w:b/>
        </w:rPr>
      </w:pPr>
      <w:r w:rsidRPr="00235CC9">
        <w:rPr>
          <w:b/>
        </w:rPr>
        <w:t>In ANOVA, the corrected total sum of squares is partitioned into two parts, the Model Sum of Squares and the Error Sum of Squares.</w:t>
      </w:r>
    </w:p>
    <w:p w:rsidR="007650A3" w:rsidRPr="00235CC9" w:rsidRDefault="007650A3" w:rsidP="007650A3">
      <w:pPr>
        <w:keepNext/>
        <w:keepLines/>
        <w:numPr>
          <w:ilvl w:val="12"/>
          <w:numId w:val="0"/>
        </w:numPr>
        <w:ind w:left="2880" w:hanging="2880"/>
        <w:rPr>
          <w:b/>
        </w:rPr>
      </w:pPr>
      <w:r w:rsidRPr="00235CC9">
        <w:rPr>
          <w:b/>
        </w:rPr>
        <w:t>Model Sum of Squares (SSM)</w:t>
      </w:r>
      <w:r w:rsidRPr="00235CC9">
        <w:rPr>
          <w:b/>
        </w:rPr>
        <w:tab/>
        <w:t xml:space="preserve">the variability explained by the independent variable and therefore represented by the </w:t>
      </w:r>
      <w:r w:rsidRPr="00235CC9">
        <w:rPr>
          <w:b/>
          <w:i/>
        </w:rPr>
        <w:t>between</w:t>
      </w:r>
      <w:r w:rsidRPr="00235CC9">
        <w:rPr>
          <w:b/>
        </w:rPr>
        <w:t xml:space="preserve"> treatment sums of squares.</w:t>
      </w:r>
    </w:p>
    <w:p w:rsidR="007650A3" w:rsidRPr="00235CC9" w:rsidRDefault="007650A3" w:rsidP="007650A3">
      <w:pPr>
        <w:keepNext/>
        <w:keepLines/>
        <w:numPr>
          <w:ilvl w:val="12"/>
          <w:numId w:val="0"/>
        </w:numPr>
        <w:ind w:left="2880" w:hanging="2880"/>
        <w:rPr>
          <w:b/>
        </w:rPr>
      </w:pPr>
      <w:r w:rsidRPr="00235CC9">
        <w:rPr>
          <w:b/>
        </w:rPr>
        <w:t>Error Sum of Squares (SSE)</w:t>
      </w:r>
      <w:r w:rsidRPr="00235CC9">
        <w:rPr>
          <w:b/>
        </w:rPr>
        <w:tab/>
        <w:t xml:space="preserve">the variability not explained by the independent variable. Also referred to as </w:t>
      </w:r>
      <w:r w:rsidRPr="00235CC9">
        <w:rPr>
          <w:b/>
          <w:i/>
        </w:rPr>
        <w:t>within</w:t>
      </w:r>
      <w:r w:rsidRPr="00235CC9">
        <w:rPr>
          <w:b/>
        </w:rPr>
        <w:t xml:space="preserve"> treatment variability or residual sum of squares.</w:t>
      </w:r>
    </w:p>
    <w:p w:rsidR="007650A3" w:rsidRPr="00235CC9" w:rsidRDefault="007650A3" w:rsidP="007650A3">
      <w:pPr>
        <w:keepLines/>
        <w:numPr>
          <w:ilvl w:val="12"/>
          <w:numId w:val="0"/>
        </w:numPr>
        <w:ind w:left="2880" w:hanging="2880"/>
        <w:rPr>
          <w:b/>
        </w:rPr>
      </w:pPr>
      <w:r w:rsidRPr="00235CC9">
        <w:rPr>
          <w:b/>
        </w:rPr>
        <w:t>Total Sum of Squares (SST)</w:t>
      </w:r>
      <w:r w:rsidRPr="00235CC9">
        <w:rPr>
          <w:b/>
        </w:rPr>
        <w:tab/>
        <w:t xml:space="preserve">the </w:t>
      </w:r>
      <w:r w:rsidRPr="00235CC9">
        <w:rPr>
          <w:b/>
          <w:i/>
        </w:rPr>
        <w:t>overall</w:t>
      </w:r>
      <w:r w:rsidRPr="00235CC9">
        <w:rPr>
          <w:b/>
        </w:rPr>
        <w:t xml:space="preserve"> variability in the response variable. </w:t>
      </w:r>
      <w:r w:rsidRPr="00235CC9">
        <w:rPr>
          <w:b/>
        </w:rPr>
        <w:br/>
        <w:t>SST=SSM + SSE.</w:t>
      </w:r>
      <w:r w:rsidR="00FD1DD0" w:rsidRPr="00235CC9">
        <w:rPr>
          <w:b/>
          <w:sz w:val="4"/>
        </w:rPr>
        <w:fldChar w:fldCharType="begin"/>
      </w:r>
      <w:r w:rsidRPr="00235CC9">
        <w:rPr>
          <w:b/>
          <w:sz w:val="4"/>
        </w:rPr>
        <w:instrText>xe "partitioning variability:analysis of variance (ANOVA)"</w:instrText>
      </w:r>
      <w:r w:rsidR="00FD1DD0" w:rsidRPr="00235CC9">
        <w:rPr>
          <w:b/>
          <w:sz w:val="4"/>
        </w:rPr>
        <w:fldChar w:fldCharType="end"/>
      </w:r>
      <w:r w:rsidR="00FD1DD0" w:rsidRPr="00235CC9">
        <w:rPr>
          <w:b/>
          <w:sz w:val="4"/>
        </w:rPr>
        <w:fldChar w:fldCharType="begin"/>
      </w:r>
      <w:r w:rsidRPr="00235CC9">
        <w:rPr>
          <w:b/>
          <w:sz w:val="4"/>
        </w:rPr>
        <w:instrText>xe "analysis of variance (ANOVA):partitioning variability"</w:instrText>
      </w:r>
      <w:r w:rsidR="00FD1DD0" w:rsidRPr="00235CC9">
        <w:rPr>
          <w:b/>
          <w:sz w:val="4"/>
        </w:rPr>
        <w:fldChar w:fldCharType="end"/>
      </w:r>
      <w:r w:rsidR="00FD1DD0" w:rsidRPr="00235CC9">
        <w:rPr>
          <w:b/>
          <w:sz w:val="4"/>
        </w:rPr>
        <w:fldChar w:fldCharType="begin"/>
      </w:r>
      <w:r w:rsidRPr="00235CC9">
        <w:rPr>
          <w:b/>
          <w:sz w:val="4"/>
        </w:rPr>
        <w:instrText>xe "model sum of squares"</w:instrText>
      </w:r>
      <w:r w:rsidR="00FD1DD0" w:rsidRPr="00235CC9">
        <w:rPr>
          <w:b/>
          <w:sz w:val="4"/>
        </w:rPr>
        <w:fldChar w:fldCharType="end"/>
      </w:r>
      <w:r w:rsidR="00FD1DD0" w:rsidRPr="00235CC9">
        <w:rPr>
          <w:b/>
          <w:sz w:val="4"/>
        </w:rPr>
        <w:fldChar w:fldCharType="begin"/>
      </w:r>
      <w:r w:rsidRPr="00235CC9">
        <w:rPr>
          <w:b/>
          <w:sz w:val="4"/>
        </w:rPr>
        <w:instrText>xe "error sum of squares"</w:instrText>
      </w:r>
      <w:r w:rsidR="00FD1DD0" w:rsidRPr="00235CC9">
        <w:rPr>
          <w:b/>
          <w:sz w:val="4"/>
        </w:rPr>
        <w:fldChar w:fldCharType="end"/>
      </w:r>
      <w:r w:rsidR="00FD1DD0" w:rsidRPr="00235CC9">
        <w:rPr>
          <w:b/>
          <w:sz w:val="4"/>
        </w:rPr>
        <w:fldChar w:fldCharType="begin"/>
      </w:r>
      <w:r w:rsidRPr="00235CC9">
        <w:rPr>
          <w:b/>
          <w:sz w:val="4"/>
        </w:rPr>
        <w:instrText>xe "total sum of squares"</w:instrText>
      </w:r>
      <w:r w:rsidR="00FD1DD0" w:rsidRPr="00235CC9">
        <w:rPr>
          <w:b/>
          <w:sz w:val="4"/>
        </w:rPr>
        <w:fldChar w:fldCharType="end"/>
      </w:r>
    </w:p>
    <w:p w:rsidR="00007CF5" w:rsidRPr="00C02FEA" w:rsidRDefault="00B75C00" w:rsidP="00D92D8B">
      <w:pPr>
        <w:pStyle w:val="PowerPointslide"/>
        <w:keepNext/>
        <w:keepLines/>
        <w:widowControl/>
      </w:pPr>
      <w:bookmarkStart w:id="41" w:name="Slide_285"/>
      <w:r w:rsidRPr="00235CC9">
        <w:rPr>
          <w:b/>
          <w:noProof/>
        </w:rPr>
        <w:drawing>
          <wp:inline distT="0" distB="0" distL="0" distR="0">
            <wp:extent cx="4117340" cy="3086735"/>
            <wp:effectExtent l="19050" t="19050" r="1651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41"/>
    </w:p>
    <w:p w:rsidR="00224F55" w:rsidRDefault="00007CF5" w:rsidP="00224F55">
      <w:pPr>
        <w:keepNext/>
        <w:keepLines/>
      </w:pPr>
      <w:r>
        <w:t>As its name implies, analysis of variance analyzes the variances of the data to determine whether there is a difference between the group means.</w:t>
      </w:r>
      <w:r w:rsidR="00224F55" w:rsidRPr="005439DC">
        <w:t xml:space="preserve"> ANOVA compares the portion of variation in the response variable attributable to the grouping variable to the portion of variability left unexplained. Another way to say this is that ANOVA compares the sample variance under the null and alternative hypotheses.</w:t>
      </w:r>
    </w:p>
    <w:p w:rsidR="00007CF5" w:rsidRDefault="00007CF5">
      <w:pPr>
        <w:keepLines/>
        <w:numPr>
          <w:ilvl w:val="12"/>
          <w:numId w:val="0"/>
        </w:numPr>
        <w:ind w:left="2880" w:hanging="2880"/>
      </w:pPr>
      <w:r>
        <w:t>Between Group Variation</w:t>
      </w:r>
      <w:r>
        <w:tab/>
        <w:t xml:space="preserve">the </w:t>
      </w:r>
      <w:r w:rsidR="00893C02">
        <w:t xml:space="preserve">weighted (by group size) </w:t>
      </w:r>
      <w:r>
        <w:t xml:space="preserve">sum of the squared differences between the mean for </w:t>
      </w:r>
      <w:r w:rsidR="00F553A6">
        <w:t>each group and the overall mean,</w:t>
      </w:r>
      <w:r w:rsidR="009D5E09" w:rsidRPr="007D4F3E">
        <w:rPr>
          <w:position w:val="-12"/>
        </w:rPr>
        <w:object w:dxaOrig="11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3.25pt" o:ole="" fillcolor="window">
            <v:imagedata r:id="rId25" o:title=""/>
          </v:shape>
          <o:OLEObject Type="Embed" ProgID="Equation.3" ShapeID="_x0000_i1025" DrawAspect="Content" ObjectID="_1507003851" r:id="rId26"/>
        </w:object>
      </w:r>
      <w:r>
        <w:t>.</w:t>
      </w:r>
      <w:r w:rsidR="00CD78B6">
        <w:t xml:space="preserve"> </w:t>
      </w:r>
      <w:r w:rsidR="00945868">
        <w:t>This measure is also referred to as the Model Sum of Squares (SS</w:t>
      </w:r>
      <w:r w:rsidR="00945868" w:rsidRPr="006A1087">
        <w:rPr>
          <w:vertAlign w:val="subscript"/>
        </w:rPr>
        <w:t>M</w:t>
      </w:r>
      <w:r w:rsidR="00945868">
        <w:t>).</w:t>
      </w:r>
    </w:p>
    <w:p w:rsidR="00007CF5" w:rsidRDefault="00007CF5">
      <w:pPr>
        <w:keepLines/>
        <w:numPr>
          <w:ilvl w:val="12"/>
          <w:numId w:val="0"/>
        </w:numPr>
        <w:ind w:left="2880" w:hanging="2880"/>
      </w:pPr>
      <w:r>
        <w:t>Within Group Variation</w:t>
      </w:r>
      <w:r>
        <w:tab/>
        <w:t>the sum of the squared differences between each observed value and the mean for its group,</w:t>
      </w:r>
      <w:r w:rsidR="00650B06" w:rsidRPr="004C0691">
        <w:rPr>
          <w:position w:val="-14"/>
        </w:rPr>
        <w:object w:dxaOrig="1300" w:dyaOrig="440">
          <v:shape id="_x0000_i1026" type="#_x0000_t75" style="width:64.5pt;height:21.75pt" o:ole="" fillcolor="window">
            <v:imagedata r:id="rId27" o:title=""/>
          </v:shape>
          <o:OLEObject Type="Embed" ProgID="Equation.3" ShapeID="_x0000_i1026" DrawAspect="Content" ObjectID="_1507003852" r:id="rId28"/>
        </w:object>
      </w:r>
      <w:r>
        <w:t>.</w:t>
      </w:r>
      <w:r w:rsidR="00945868">
        <w:t xml:space="preserve"> This measure is also referred to as the Error Sum of Squares (SS</w:t>
      </w:r>
      <w:r w:rsidR="00945868" w:rsidRPr="006A1087">
        <w:rPr>
          <w:vertAlign w:val="subscript"/>
        </w:rPr>
        <w:t>E</w:t>
      </w:r>
      <w:r w:rsidR="00945868">
        <w:t>).</w:t>
      </w:r>
    </w:p>
    <w:p w:rsidR="00945868" w:rsidRDefault="00007CF5">
      <w:pPr>
        <w:keepLines/>
        <w:numPr>
          <w:ilvl w:val="12"/>
          <w:numId w:val="0"/>
        </w:numPr>
        <w:ind w:left="2880" w:hanging="2880"/>
      </w:pPr>
      <w:r>
        <w:t>Total Variation</w:t>
      </w:r>
      <w:r>
        <w:tab/>
        <w:t>the sum of the squared differences between each observed value and the overall mean,</w:t>
      </w:r>
      <w:r w:rsidR="00650B06" w:rsidRPr="004C0691">
        <w:rPr>
          <w:position w:val="-14"/>
        </w:rPr>
        <w:object w:dxaOrig="1260" w:dyaOrig="480">
          <v:shape id="_x0000_i1027" type="#_x0000_t75" style="width:63pt;height:24pt" o:ole="" fillcolor="window">
            <v:imagedata r:id="rId29" o:title=""/>
          </v:shape>
          <o:OLEObject Type="Embed" ProgID="Equation.3" ShapeID="_x0000_i1027" DrawAspect="Content" ObjectID="_1507003853" r:id="rId30"/>
        </w:object>
      </w:r>
      <w:r>
        <w:t>.</w:t>
      </w:r>
      <w:r w:rsidR="00945868">
        <w:t xml:space="preserve"> This measure is also referred to as the </w:t>
      </w:r>
      <w:r w:rsidR="00434DF4">
        <w:br/>
      </w:r>
      <w:r w:rsidR="00945868">
        <w:t>Total Sum of Squares (SS</w:t>
      </w:r>
      <w:r w:rsidR="00945868" w:rsidRPr="006A1087">
        <w:rPr>
          <w:vertAlign w:val="subscript"/>
        </w:rPr>
        <w:t>T</w:t>
      </w:r>
      <w:r w:rsidR="00945868">
        <w:t>).</w:t>
      </w:r>
    </w:p>
    <w:p w:rsidR="007650A3" w:rsidRPr="00C02FEA" w:rsidRDefault="00B75C00" w:rsidP="00D92D8B">
      <w:pPr>
        <w:pStyle w:val="PowerPointslide"/>
      </w:pPr>
      <w:bookmarkStart w:id="42" w:name="Slide_290"/>
      <w:r w:rsidRPr="00D92D8B">
        <w:rPr>
          <w:noProof/>
        </w:rPr>
        <w:drawing>
          <wp:inline distT="0" distB="0" distL="0" distR="0">
            <wp:extent cx="4117340" cy="3086735"/>
            <wp:effectExtent l="19050" t="19050" r="1651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42"/>
    </w:p>
    <w:p w:rsidR="007650A3" w:rsidRPr="00E85E3C" w:rsidRDefault="007650A3" w:rsidP="007650A3">
      <w:pPr>
        <w:keepLines/>
        <w:numPr>
          <w:ilvl w:val="12"/>
          <w:numId w:val="0"/>
        </w:numPr>
      </w:pPr>
      <w:r>
        <w:t xml:space="preserve">The model, </w:t>
      </w:r>
      <w:r w:rsidRPr="00E85E3C">
        <w:t>Y</w:t>
      </w:r>
      <w:r w:rsidRPr="00E85E3C">
        <w:rPr>
          <w:vertAlign w:val="subscript"/>
        </w:rPr>
        <w:t>ik</w:t>
      </w:r>
      <w:r w:rsidRPr="00E85E3C">
        <w:t xml:space="preserve"> = </w:t>
      </w:r>
      <w:r w:rsidRPr="00E85E3C">
        <w:sym w:font="Symbol" w:char="F06D"/>
      </w:r>
      <w:r w:rsidRPr="00E85E3C">
        <w:t xml:space="preserve"> + </w:t>
      </w:r>
      <w:r w:rsidRPr="00E85E3C">
        <w:sym w:font="Symbol" w:char="F074"/>
      </w:r>
      <w:r w:rsidRPr="00E85E3C">
        <w:rPr>
          <w:vertAlign w:val="subscript"/>
        </w:rPr>
        <w:t>I</w:t>
      </w:r>
      <w:r w:rsidRPr="00E85E3C">
        <w:t xml:space="preserve"> + </w:t>
      </w:r>
      <w:r w:rsidRPr="00E85E3C">
        <w:sym w:font="Symbol" w:char="F065"/>
      </w:r>
      <w:r w:rsidRPr="00E85E3C">
        <w:rPr>
          <w:vertAlign w:val="subscript"/>
        </w:rPr>
        <w:t>ik</w:t>
      </w:r>
      <w:r>
        <w:t xml:space="preserve">, is just one way of representing the relationship between the dependent </w:t>
      </w:r>
      <w:r w:rsidR="00434DF4">
        <w:br/>
      </w:r>
      <w:r>
        <w:t>and independent variables in ANOVA.</w:t>
      </w:r>
    </w:p>
    <w:p w:rsidR="007650A3" w:rsidRDefault="007650A3" w:rsidP="007650A3">
      <w:pPr>
        <w:keepLines/>
        <w:numPr>
          <w:ilvl w:val="12"/>
          <w:numId w:val="0"/>
        </w:numPr>
        <w:ind w:left="720" w:hanging="720"/>
      </w:pPr>
      <w:r>
        <w:rPr>
          <w:i/>
        </w:rPr>
        <w:t>Y</w:t>
      </w:r>
      <w:r>
        <w:rPr>
          <w:i/>
          <w:vertAlign w:val="subscript"/>
        </w:rPr>
        <w:t>ik</w:t>
      </w:r>
      <w:r>
        <w:rPr>
          <w:i/>
        </w:rPr>
        <w:tab/>
      </w:r>
      <w:r>
        <w:t xml:space="preserve">the </w:t>
      </w:r>
      <w:r>
        <w:rPr>
          <w:i/>
        </w:rPr>
        <w:t>k</w:t>
      </w:r>
      <w:r>
        <w:rPr>
          <w:vertAlign w:val="superscript"/>
        </w:rPr>
        <w:t>th</w:t>
      </w:r>
      <w:r>
        <w:t xml:space="preserve"> value of the response variable for the </w:t>
      </w:r>
      <w:r>
        <w:rPr>
          <w:i/>
        </w:rPr>
        <w:t>i</w:t>
      </w:r>
      <w:r>
        <w:rPr>
          <w:vertAlign w:val="superscript"/>
        </w:rPr>
        <w:t>th</w:t>
      </w:r>
      <w:r>
        <w:t xml:space="preserve"> treatment.</w:t>
      </w:r>
    </w:p>
    <w:p w:rsidR="007650A3" w:rsidRDefault="007650A3" w:rsidP="007650A3">
      <w:pPr>
        <w:keepLines/>
        <w:numPr>
          <w:ilvl w:val="12"/>
          <w:numId w:val="0"/>
        </w:numPr>
        <w:ind w:left="720" w:hanging="720"/>
      </w:pPr>
      <w:r>
        <w:sym w:font="Symbol" w:char="F06D"/>
      </w:r>
      <w:r>
        <w:tab/>
        <w:t>the overall population mean of the response, for instance garlic bulb weight.</w:t>
      </w:r>
    </w:p>
    <w:p w:rsidR="007650A3" w:rsidRDefault="007650A3" w:rsidP="007650A3">
      <w:pPr>
        <w:keepLines/>
        <w:numPr>
          <w:ilvl w:val="12"/>
          <w:numId w:val="0"/>
        </w:numPr>
        <w:ind w:left="720" w:hanging="720"/>
      </w:pPr>
      <w:r>
        <w:sym w:font="Symbol" w:char="F074"/>
      </w:r>
      <w:r>
        <w:rPr>
          <w:i/>
          <w:vertAlign w:val="subscript"/>
        </w:rPr>
        <w:t>i</w:t>
      </w:r>
      <w:r>
        <w:rPr>
          <w:vertAlign w:val="subscript"/>
        </w:rPr>
        <w:tab/>
      </w:r>
      <w:r>
        <w:t xml:space="preserve">the difference between the population mean of the </w:t>
      </w:r>
      <w:r>
        <w:rPr>
          <w:i/>
        </w:rPr>
        <w:t>i</w:t>
      </w:r>
      <w:r>
        <w:rPr>
          <w:vertAlign w:val="superscript"/>
        </w:rPr>
        <w:t>th</w:t>
      </w:r>
      <w:r>
        <w:t xml:space="preserve"> treatment and the overall mean, </w:t>
      </w:r>
      <w:r>
        <w:sym w:font="Symbol" w:char="F06D"/>
      </w:r>
      <w:r>
        <w:t xml:space="preserve">. This </w:t>
      </w:r>
      <w:r w:rsidR="00434DF4">
        <w:br/>
      </w:r>
      <w:r>
        <w:t xml:space="preserve">is referred to as the </w:t>
      </w:r>
      <w:r w:rsidRPr="00A40FCE">
        <w:rPr>
          <w:i/>
        </w:rPr>
        <w:t xml:space="preserve">effect </w:t>
      </w:r>
      <w:r>
        <w:t xml:space="preserve">of treatment </w:t>
      </w:r>
      <w:r>
        <w:rPr>
          <w:i/>
        </w:rPr>
        <w:t>i</w:t>
      </w:r>
      <w:r>
        <w:t>.</w:t>
      </w:r>
    </w:p>
    <w:p w:rsidR="007650A3" w:rsidRDefault="007650A3" w:rsidP="007650A3">
      <w:pPr>
        <w:keepLines/>
        <w:numPr>
          <w:ilvl w:val="12"/>
          <w:numId w:val="0"/>
        </w:numPr>
        <w:ind w:left="720" w:hanging="720"/>
        <w:rPr>
          <w:sz w:val="4"/>
        </w:rPr>
      </w:pPr>
      <w:r>
        <w:sym w:font="Symbol" w:char="F065"/>
      </w:r>
      <w:r>
        <w:rPr>
          <w:i/>
          <w:vertAlign w:val="subscript"/>
        </w:rPr>
        <w:t>ik</w:t>
      </w:r>
      <w:r>
        <w:rPr>
          <w:vertAlign w:val="subscript"/>
        </w:rPr>
        <w:tab/>
      </w:r>
      <w:r>
        <w:t xml:space="preserve">the difference between the observed value of the </w:t>
      </w:r>
      <w:r>
        <w:rPr>
          <w:i/>
        </w:rPr>
        <w:t>k</w:t>
      </w:r>
      <w:r>
        <w:rPr>
          <w:szCs w:val="22"/>
          <w:vertAlign w:val="superscript"/>
        </w:rPr>
        <w:t>th</w:t>
      </w:r>
      <w:r>
        <w:t xml:space="preserve"> observation in the </w:t>
      </w:r>
      <w:r>
        <w:rPr>
          <w:i/>
        </w:rPr>
        <w:t>i</w:t>
      </w:r>
      <w:r>
        <w:rPr>
          <w:szCs w:val="22"/>
          <w:vertAlign w:val="superscript"/>
        </w:rPr>
        <w:t>th</w:t>
      </w:r>
      <w:r>
        <w:t xml:space="preserve"> group and the mean </w:t>
      </w:r>
      <w:r w:rsidR="00434DF4">
        <w:br/>
      </w:r>
      <w:r>
        <w:t xml:space="preserve">of the </w:t>
      </w:r>
      <w:r>
        <w:rPr>
          <w:i/>
        </w:rPr>
        <w:t>i</w:t>
      </w:r>
      <w:r>
        <w:rPr>
          <w:szCs w:val="22"/>
          <w:vertAlign w:val="superscript"/>
        </w:rPr>
        <w:t>th</w:t>
      </w:r>
      <w:r>
        <w:t xml:space="preserve"> group. This is called the </w:t>
      </w:r>
      <w:r w:rsidRPr="00A40FCE">
        <w:rPr>
          <w:i/>
        </w:rPr>
        <w:t>error term</w:t>
      </w:r>
      <w:r>
        <w:t>.</w:t>
      </w:r>
      <w:r w:rsidR="00FD1DD0" w:rsidRPr="002F585E">
        <w:rPr>
          <w:sz w:val="4"/>
        </w:rPr>
        <w:fldChar w:fldCharType="begin"/>
      </w:r>
      <w:r w:rsidRPr="002F585E">
        <w:rPr>
          <w:sz w:val="4"/>
        </w:rPr>
        <w:instrText>xe "analysis of variance (ANOVA):model"</w:instrText>
      </w:r>
      <w:r w:rsidR="00FD1DD0" w:rsidRPr="002F585E">
        <w:rPr>
          <w:sz w:val="4"/>
        </w:rPr>
        <w:fldChar w:fldCharType="end"/>
      </w:r>
      <w:r w:rsidR="00FD1DD0" w:rsidRPr="002F585E">
        <w:rPr>
          <w:sz w:val="4"/>
        </w:rPr>
        <w:fldChar w:fldCharType="begin"/>
      </w:r>
      <w:r w:rsidRPr="002F585E">
        <w:rPr>
          <w:sz w:val="4"/>
        </w:rPr>
        <w:instrText>xe "ANOVA model:two populations"</w:instrText>
      </w:r>
      <w:r w:rsidR="00FD1DD0" w:rsidRPr="002F585E">
        <w:rPr>
          <w:sz w:val="4"/>
        </w:rPr>
        <w:fldChar w:fldCharType="end"/>
      </w:r>
    </w:p>
    <w:p w:rsidR="007650A3" w:rsidRDefault="00CD78B6" w:rsidP="00CD78B6">
      <w:pPr>
        <w:ind w:left="720" w:hanging="720"/>
      </w:pPr>
      <w:r w:rsidRPr="00CD78B6">
        <w:rPr>
          <w:b/>
          <w:sz w:val="28"/>
        </w:rPr>
        <w:sym w:font="Wingdings" w:char="F021"/>
      </w:r>
      <w:r>
        <w:tab/>
      </w:r>
      <w:r w:rsidR="007650A3">
        <w:t xml:space="preserve">SAS uses a parameterization of categorical variables that will not directly estimate the values </w:t>
      </w:r>
      <w:r w:rsidR="00434DF4">
        <w:br/>
      </w:r>
      <w:r w:rsidR="007650A3">
        <w:t>of the parameters in the model shown.</w:t>
      </w:r>
    </w:p>
    <w:p w:rsidR="00007CF5" w:rsidRDefault="00CD78B6" w:rsidP="00CD78B6">
      <w:pPr>
        <w:ind w:left="720" w:hanging="720"/>
      </w:pPr>
      <w:r w:rsidRPr="00CD78B6">
        <w:rPr>
          <w:b/>
          <w:sz w:val="28"/>
        </w:rPr>
        <w:sym w:font="Wingdings" w:char="F021"/>
      </w:r>
      <w:r>
        <w:tab/>
      </w:r>
      <w:r w:rsidR="007650A3">
        <w:t xml:space="preserve">The researchers are interested only in these four specific fertilizers. In some references this would be considered a </w:t>
      </w:r>
      <w:r w:rsidR="007650A3" w:rsidRPr="004C4C36">
        <w:rPr>
          <w:i/>
        </w:rPr>
        <w:t>fixed effect</w:t>
      </w:r>
      <w:r w:rsidR="007650A3">
        <w:t xml:space="preserve">, as opposed to a </w:t>
      </w:r>
      <w:r w:rsidR="007650A3" w:rsidRPr="00E92DEA">
        <w:rPr>
          <w:i/>
        </w:rPr>
        <w:t>random effect</w:t>
      </w:r>
      <w:r>
        <w:t xml:space="preserve">. </w:t>
      </w:r>
      <w:r w:rsidR="007650A3">
        <w:t>Random effects are not covered in this course.</w:t>
      </w:r>
    </w:p>
    <w:p w:rsidR="00D03463" w:rsidRDefault="00D03463" w:rsidP="00D03463">
      <w:pPr>
        <w:pStyle w:val="HeadingDemo"/>
        <w:pageBreakBefore/>
      </w:pPr>
      <w:bookmarkStart w:id="43" w:name="_GoBack"/>
      <w:r>
        <w:t>ANOVA Assumptions</w:t>
      </w:r>
    </w:p>
    <w:p w:rsidR="00007CF5" w:rsidRDefault="00B75C00" w:rsidP="00D92D8B">
      <w:pPr>
        <w:pStyle w:val="PowerPointslide"/>
        <w:keepNext/>
        <w:keepLines/>
        <w:widowControl/>
      </w:pPr>
      <w:bookmarkStart w:id="44" w:name="Slide_291"/>
      <w:bookmarkEnd w:id="43"/>
      <w:r w:rsidRPr="00D92D8B">
        <w:rPr>
          <w:noProof/>
        </w:rPr>
        <w:drawing>
          <wp:inline distT="0" distB="0" distL="0" distR="0">
            <wp:extent cx="4117340" cy="3086735"/>
            <wp:effectExtent l="19050" t="19050" r="1651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44"/>
    </w:p>
    <w:p w:rsidR="00201C11" w:rsidRPr="00E05D62" w:rsidRDefault="00201C11" w:rsidP="00201C11">
      <w:r>
        <w:t xml:space="preserve">The validity of the </w:t>
      </w:r>
      <w:r w:rsidRPr="00453756">
        <w:rPr>
          <w:i/>
        </w:rPr>
        <w:t>p</w:t>
      </w:r>
      <w:r>
        <w:t>-values depends on the data meeting the assumptions for ANOVA. Therefore, it is good practice to verify those assumptions in the process of performing the analysis of group differences.</w:t>
      </w:r>
    </w:p>
    <w:p w:rsidR="00E05D62" w:rsidRDefault="00E05D62">
      <w:pPr>
        <w:keepNext/>
      </w:pPr>
      <w:smartTag w:uri="urn:schemas-microsoft-com:office:smarttags" w:element="place">
        <w:smartTag w:uri="urn:schemas-microsoft-com:office:smarttags" w:element="City">
          <w:r>
            <w:t>Independence</w:t>
          </w:r>
        </w:smartTag>
      </w:smartTag>
      <w:r>
        <w:t xml:space="preserve"> implies that the </w:t>
      </w:r>
      <w:r>
        <w:sym w:font="Symbol" w:char="F065"/>
      </w:r>
      <w:r>
        <w:rPr>
          <w:vertAlign w:val="subscript"/>
        </w:rPr>
        <w:t>ij</w:t>
      </w:r>
      <w:r>
        <w:t>s in the theoretical model are uncorrelated. The independence assumption should be verified with good data collection. In some cases, residuals can be used to verify this assumption.</w:t>
      </w:r>
    </w:p>
    <w:p w:rsidR="00007CF5" w:rsidRDefault="00E05D62">
      <w:pPr>
        <w:keepNext/>
      </w:pPr>
      <w:r>
        <w:t>The errors are assumed to be normally distributed for every group or treatment.</w:t>
      </w:r>
    </w:p>
    <w:p w:rsidR="000B1C92" w:rsidRDefault="00007CF5" w:rsidP="00453756">
      <w:pPr>
        <w:keepLines/>
        <w:numPr>
          <w:ilvl w:val="12"/>
          <w:numId w:val="0"/>
        </w:numPr>
        <w:rPr>
          <w:sz w:val="4"/>
        </w:rPr>
      </w:pPr>
      <w:r>
        <w:t xml:space="preserve">One assumption of ANOVA is approximately equal error variances for each treatment. Although you can get an idea about the equality of variances by looking at the descriptive statistics and plots of the data, you should also consider a formal test for homogeneity of variances. The </w:t>
      </w:r>
      <w:r w:rsidR="00927A4B">
        <w:t xml:space="preserve">SAS code </w:t>
      </w:r>
      <w:r>
        <w:t xml:space="preserve">has a homogeneity of variance test option </w:t>
      </w:r>
      <w:r w:rsidR="00E05D62">
        <w:t>for one-way ANOVA</w:t>
      </w:r>
      <w:r>
        <w:t>.</w:t>
      </w:r>
      <w:r>
        <w:rPr>
          <w:sz w:val="4"/>
        </w:rPr>
        <w:t xml:space="preserve"> </w:t>
      </w:r>
    </w:p>
    <w:p w:rsidR="009F3AB1" w:rsidRDefault="00B75C00" w:rsidP="00D92D8B">
      <w:pPr>
        <w:pStyle w:val="PowerPointslide"/>
        <w:keepNext/>
        <w:keepLines/>
        <w:widowControl/>
      </w:pPr>
      <w:bookmarkStart w:id="45" w:name="Slide_292"/>
      <w:r w:rsidRPr="00D92D8B">
        <w:rPr>
          <w:noProof/>
        </w:rPr>
        <w:drawing>
          <wp:inline distT="0" distB="0" distL="0" distR="0">
            <wp:extent cx="4117340" cy="3086735"/>
            <wp:effectExtent l="19050" t="19050" r="1651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45"/>
    </w:p>
    <w:p w:rsidR="00126FEC" w:rsidRDefault="00B75C00" w:rsidP="00D92D8B">
      <w:pPr>
        <w:pStyle w:val="PowerPointslide"/>
      </w:pPr>
      <w:bookmarkStart w:id="46" w:name="Slide_293"/>
      <w:r w:rsidRPr="00D92D8B">
        <w:rPr>
          <w:noProof/>
        </w:rPr>
        <w:drawing>
          <wp:inline distT="0" distB="0" distL="0" distR="0">
            <wp:extent cx="4117340" cy="3086735"/>
            <wp:effectExtent l="19050" t="19050" r="1651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46"/>
    </w:p>
    <w:p w:rsidR="00007CF5" w:rsidRPr="008876C0" w:rsidRDefault="00B75C00" w:rsidP="00D92D8B">
      <w:pPr>
        <w:pStyle w:val="PowerPointslide"/>
        <w:keepNext/>
        <w:keepLines/>
        <w:widowControl/>
      </w:pPr>
      <w:bookmarkStart w:id="47" w:name="Slide_294"/>
      <w:r w:rsidRPr="00D92D8B">
        <w:rPr>
          <w:noProof/>
        </w:rPr>
        <w:drawing>
          <wp:inline distT="0" distB="0" distL="0" distR="0">
            <wp:extent cx="4117340" cy="3086735"/>
            <wp:effectExtent l="19050" t="19050" r="1651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47"/>
      <w:r w:rsidR="00FD1DD0" w:rsidRPr="002F585E">
        <w:rPr>
          <w:sz w:val="4"/>
        </w:rPr>
        <w:fldChar w:fldCharType="begin"/>
      </w:r>
      <w:r w:rsidR="00007CF5" w:rsidRPr="002F585E">
        <w:rPr>
          <w:sz w:val="4"/>
        </w:rPr>
        <w:instrText>xe "assumptions:for ANOVA"</w:instrText>
      </w:r>
      <w:r w:rsidR="00FD1DD0" w:rsidRPr="002F585E">
        <w:rPr>
          <w:sz w:val="4"/>
        </w:rPr>
        <w:fldChar w:fldCharType="end"/>
      </w:r>
      <w:r w:rsidR="00FD1DD0" w:rsidRPr="002F585E">
        <w:rPr>
          <w:sz w:val="4"/>
        </w:rPr>
        <w:fldChar w:fldCharType="begin"/>
      </w:r>
      <w:r w:rsidR="00007CF5" w:rsidRPr="002F585E">
        <w:rPr>
          <w:sz w:val="4"/>
        </w:rPr>
        <w:instrText>xe "homogeneity of variances"</w:instrText>
      </w:r>
      <w:r w:rsidR="00FD1DD0" w:rsidRPr="002F585E">
        <w:rPr>
          <w:sz w:val="4"/>
        </w:rPr>
        <w:fldChar w:fldCharType="end"/>
      </w:r>
      <w:r w:rsidR="00FD1DD0" w:rsidRPr="002F585E">
        <w:rPr>
          <w:sz w:val="4"/>
        </w:rPr>
        <w:fldChar w:fldCharType="begin"/>
      </w:r>
      <w:r w:rsidR="00007CF5" w:rsidRPr="002F585E">
        <w:rPr>
          <w:sz w:val="4"/>
        </w:rPr>
        <w:instrText>xe "analysis of variance (ANOVA):assumptions"</w:instrText>
      </w:r>
      <w:r w:rsidR="00FD1DD0" w:rsidRPr="002F585E">
        <w:rPr>
          <w:sz w:val="4"/>
        </w:rPr>
        <w:fldChar w:fldCharType="end"/>
      </w:r>
    </w:p>
    <w:p w:rsidR="00007CF5" w:rsidRDefault="00007CF5" w:rsidP="00851DC4">
      <w:pPr>
        <w:keepNext/>
        <w:keepLines/>
        <w:numPr>
          <w:ilvl w:val="12"/>
          <w:numId w:val="0"/>
        </w:numPr>
      </w:pPr>
      <w:r>
        <w:t xml:space="preserve">The residuals from the ANOVA are calculated as (the actual value – the predicted value). These residuals can be examined </w:t>
      </w:r>
      <w:r w:rsidR="00227E10">
        <w:t xml:space="preserve">with the Distribution Analysis task </w:t>
      </w:r>
      <w:r>
        <w:t xml:space="preserve">to determine normality. </w:t>
      </w:r>
      <w:r w:rsidRPr="00851DC4">
        <w:t>With a reasonabl</w:t>
      </w:r>
      <w:r w:rsidR="00E36276" w:rsidRPr="00851DC4">
        <w:t xml:space="preserve">y </w:t>
      </w:r>
      <w:r w:rsidRPr="00851DC4">
        <w:t>sized sample</w:t>
      </w:r>
      <w:r w:rsidR="000B1C92" w:rsidRPr="00851DC4">
        <w:t xml:space="preserve"> and approximately equal groups (balanced design)</w:t>
      </w:r>
      <w:r w:rsidRPr="00851DC4">
        <w:t>, only severe departures from normality are considered a problem.</w:t>
      </w:r>
      <w:r w:rsidR="00CD78B6">
        <w:t xml:space="preserve"> </w:t>
      </w:r>
      <w:r w:rsidR="00587746">
        <w:t>Residual values sum to 0 in ANOVA. Their distribution approximates the distribution of error in the model.</w:t>
      </w:r>
    </w:p>
    <w:p w:rsidR="00007CF5" w:rsidRDefault="00007CF5">
      <w:pPr>
        <w:keepLines/>
        <w:numPr>
          <w:ilvl w:val="12"/>
          <w:numId w:val="0"/>
        </w:numPr>
      </w:pPr>
      <w:r>
        <w:t>In ANOVA with more than</w:t>
      </w:r>
      <w:r w:rsidR="008876C0">
        <w:t xml:space="preserve"> one predictor variable</w:t>
      </w:r>
      <w:r>
        <w:t xml:space="preserve">, </w:t>
      </w:r>
      <w:r w:rsidR="00D32EB5">
        <w:t xml:space="preserve">homogeneity of variance test options are </w:t>
      </w:r>
      <w:r>
        <w:t>unavailable. In those circumstances, you can plot the residuals against their predicted values to verify that the variances are equal. The result will be a set of vertical lines equal to the number of groups. If the lines are approximately the same height, the variances are approximately equal. Descriptive statistics can also be used to determine whether the variances are equal.</w:t>
      </w:r>
    </w:p>
    <w:p w:rsidR="0070220F" w:rsidRDefault="0070220F" w:rsidP="00D92D8B">
      <w:pPr>
        <w:pStyle w:val="PowerPointslide"/>
      </w:pPr>
    </w:p>
    <w:p w:rsidR="0070220F" w:rsidRDefault="0070220F" w:rsidP="00D92D8B">
      <w:pPr>
        <w:pStyle w:val="PowerPointslide"/>
      </w:pPr>
    </w:p>
    <w:p w:rsidR="00851DC4" w:rsidRDefault="00B75C00" w:rsidP="00851DC4">
      <w:pPr>
        <w:pStyle w:val="HeadingDemo"/>
        <w:pageBreakBefore/>
      </w:pPr>
      <w:r>
        <w:rPr>
          <w:noProof/>
        </w:rPr>
        <w:drawing>
          <wp:anchor distT="0" distB="0" distL="114300" distR="114300" simplePos="0" relativeHeight="251657216" behindDoc="0" locked="1" layoutInCell="1" allowOverlap="1">
            <wp:simplePos x="0" y="0"/>
            <wp:positionH relativeFrom="column">
              <wp:posOffset>0</wp:posOffset>
            </wp:positionH>
            <wp:positionV relativeFrom="paragraph">
              <wp:posOffset>137160</wp:posOffset>
            </wp:positionV>
            <wp:extent cx="704215" cy="511810"/>
            <wp:effectExtent l="0" t="0" r="635" b="2540"/>
            <wp:wrapSquare wrapText="right"/>
            <wp:docPr id="29" name="Picture 29"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PowerServ\CourseGraphics\demo_eye.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anchor>
        </w:drawing>
      </w:r>
      <w:bookmarkStart w:id="48" w:name="_Toc206844431"/>
      <w:bookmarkStart w:id="49" w:name="_Toc231881951"/>
      <w:bookmarkStart w:id="50" w:name="_Toc231963348"/>
      <w:bookmarkStart w:id="51" w:name="_Toc232846766"/>
      <w:bookmarkStart w:id="52" w:name="_Toc234227406"/>
      <w:bookmarkStart w:id="53" w:name="_Toc255203974"/>
      <w:bookmarkStart w:id="54" w:name="_Toc255207806"/>
      <w:bookmarkStart w:id="55" w:name="_Toc255549494"/>
      <w:bookmarkStart w:id="56" w:name="_Toc255810472"/>
      <w:bookmarkStart w:id="57" w:name="_Toc255894722"/>
      <w:r w:rsidR="006A6668">
        <w:t xml:space="preserve">Exercise - </w:t>
      </w:r>
      <w:r w:rsidR="00851DC4">
        <w:t xml:space="preserve">The </w:t>
      </w:r>
      <w:bookmarkEnd w:id="48"/>
      <w:bookmarkEnd w:id="49"/>
      <w:bookmarkEnd w:id="50"/>
      <w:bookmarkEnd w:id="51"/>
      <w:bookmarkEnd w:id="52"/>
      <w:r w:rsidR="0095568F">
        <w:t>Linear Models task</w:t>
      </w:r>
      <w:bookmarkEnd w:id="53"/>
      <w:bookmarkEnd w:id="54"/>
      <w:bookmarkEnd w:id="55"/>
      <w:bookmarkEnd w:id="56"/>
      <w:bookmarkEnd w:id="57"/>
    </w:p>
    <w:p w:rsidR="00851DC4" w:rsidRDefault="00851DC4" w:rsidP="00851DC4"/>
    <w:p w:rsidR="00227E10" w:rsidRPr="006A6668" w:rsidRDefault="00227E10" w:rsidP="007166C5">
      <w:pPr>
        <w:rPr>
          <w:b/>
        </w:rPr>
      </w:pPr>
      <w:r w:rsidRPr="006A6668">
        <w:rPr>
          <w:b/>
        </w:rPr>
        <w:t>Perform ANOVA to test whether the mean bulb weight of garlic is different across different fertilizers.</w:t>
      </w:r>
    </w:p>
    <w:p w:rsidR="00227E10" w:rsidRDefault="00791BB2" w:rsidP="00106AF5">
      <w:pPr>
        <w:numPr>
          <w:ilvl w:val="0"/>
          <w:numId w:val="19"/>
        </w:numPr>
      </w:pPr>
      <w:r>
        <w:t>Click</w:t>
      </w:r>
      <w:r w:rsidR="00227E10">
        <w:t xml:space="preserve"> the </w:t>
      </w:r>
      <w:r w:rsidR="00227E10" w:rsidRPr="00791BB2">
        <w:rPr>
          <w:b/>
          <w:u w:val="single"/>
        </w:rPr>
        <w:t>Input Data</w:t>
      </w:r>
      <w:r w:rsidR="00227E10">
        <w:t xml:space="preserve"> tab </w:t>
      </w:r>
      <w:r w:rsidR="006A6668">
        <w:t xml:space="preserve">of the </w:t>
      </w:r>
      <w:r w:rsidR="002255AC">
        <w:t xml:space="preserve">task flow </w:t>
      </w:r>
      <w:r w:rsidR="00227E10">
        <w:t xml:space="preserve">to expose the </w:t>
      </w:r>
      <w:r w:rsidR="00227E10" w:rsidRPr="00227E10">
        <w:rPr>
          <w:rFonts w:ascii="Courier New" w:hAnsi="Courier New" w:cs="Courier New"/>
          <w:b/>
          <w:kern w:val="0"/>
        </w:rPr>
        <w:t>MGGARLIC</w:t>
      </w:r>
      <w:r w:rsidR="00227E10">
        <w:t xml:space="preserve"> data</w:t>
      </w:r>
      <w:r>
        <w:t xml:space="preserve"> </w:t>
      </w:r>
      <w:r w:rsidR="00227E10">
        <w:t>set.</w:t>
      </w:r>
    </w:p>
    <w:p w:rsidR="00227E10" w:rsidRDefault="00B75C00" w:rsidP="00227E10">
      <w:pPr>
        <w:ind w:left="360"/>
      </w:pPr>
      <w:r>
        <w:rPr>
          <w:noProof/>
        </w:rPr>
        <w:drawing>
          <wp:inline distT="0" distB="0" distL="0" distR="0">
            <wp:extent cx="4170045" cy="1569720"/>
            <wp:effectExtent l="19050" t="19050" r="2095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0045" cy="1569720"/>
                    </a:xfrm>
                    <a:prstGeom prst="rect">
                      <a:avLst/>
                    </a:prstGeom>
                    <a:noFill/>
                    <a:ln w="6350" cmpd="sng">
                      <a:solidFill>
                        <a:srgbClr val="000000"/>
                      </a:solidFill>
                      <a:miter lim="800000"/>
                      <a:headEnd/>
                      <a:tailEnd/>
                    </a:ln>
                    <a:effectLst/>
                  </pic:spPr>
                </pic:pic>
              </a:graphicData>
            </a:graphic>
          </wp:inline>
        </w:drawing>
      </w:r>
    </w:p>
    <w:p w:rsidR="00227E10" w:rsidRDefault="002255AC" w:rsidP="00106AF5">
      <w:pPr>
        <w:numPr>
          <w:ilvl w:val="0"/>
          <w:numId w:val="19"/>
        </w:numPr>
      </w:pPr>
      <w:r>
        <w:t xml:space="preserve">Select </w:t>
      </w:r>
      <w:r w:rsidR="00A466F9" w:rsidRPr="007166C5">
        <w:rPr>
          <w:b/>
          <w:u w:val="single"/>
        </w:rPr>
        <w:t>Tasks</w:t>
      </w:r>
      <w:r>
        <w:t xml:space="preserve"> </w:t>
      </w:r>
      <w:r w:rsidR="008C5F57">
        <w:t>(or</w:t>
      </w:r>
      <w:r>
        <w:t xml:space="preserve"> </w:t>
      </w:r>
      <w:r w:rsidR="008C5F57">
        <w:rPr>
          <w:b/>
          <w:u w:val="single"/>
        </w:rPr>
        <w:t xml:space="preserve">Analyze) </w:t>
      </w:r>
      <w:r w:rsidR="0084485D">
        <w:sym w:font="Wingdings" w:char="F0F0"/>
      </w:r>
      <w:r w:rsidR="0084485D">
        <w:t xml:space="preserve"> </w:t>
      </w:r>
      <w:r w:rsidR="0084485D">
        <w:rPr>
          <w:b/>
          <w:u w:val="single"/>
        </w:rPr>
        <w:t>A</w:t>
      </w:r>
      <w:r w:rsidR="0095568F" w:rsidRPr="007166C5">
        <w:rPr>
          <w:b/>
          <w:u w:val="single"/>
        </w:rPr>
        <w:t>NOVA</w:t>
      </w:r>
      <w:r>
        <w:rPr>
          <w:b/>
        </w:rPr>
        <w:t xml:space="preserve"> </w:t>
      </w:r>
      <w:r>
        <w:sym w:font="Wingdings" w:char="00F0"/>
      </w:r>
      <w:r>
        <w:t xml:space="preserve"> </w:t>
      </w:r>
      <w:r w:rsidRPr="007166C5">
        <w:rPr>
          <w:b/>
          <w:u w:val="single"/>
        </w:rPr>
        <w:t>Linear Models…</w:t>
      </w:r>
      <w:r>
        <w:t>.</w:t>
      </w:r>
    </w:p>
    <w:p w:rsidR="002255AC" w:rsidRDefault="002255AC" w:rsidP="00106AF5">
      <w:pPr>
        <w:numPr>
          <w:ilvl w:val="0"/>
          <w:numId w:val="19"/>
        </w:numPr>
      </w:pPr>
      <w:r>
        <w:t xml:space="preserve">Under </w:t>
      </w:r>
      <w:r w:rsidRPr="007166C5">
        <w:t>Data</w:t>
      </w:r>
      <w:r>
        <w:t xml:space="preserve">, assign </w:t>
      </w:r>
      <w:r w:rsidRPr="007166C5">
        <w:rPr>
          <w:b/>
          <w:u w:val="single"/>
        </w:rPr>
        <w:t>BulbWeight</w:t>
      </w:r>
      <w:r>
        <w:t xml:space="preserve"> and </w:t>
      </w:r>
      <w:r w:rsidRPr="007166C5">
        <w:rPr>
          <w:b/>
          <w:u w:val="single"/>
        </w:rPr>
        <w:t>Fertilizer</w:t>
      </w:r>
      <w:r w:rsidR="007166C5">
        <w:t xml:space="preserve"> to the task roles of d</w:t>
      </w:r>
      <w:r>
        <w:t xml:space="preserve">ependent variable and </w:t>
      </w:r>
      <w:r w:rsidR="007166C5">
        <w:t>c</w:t>
      </w:r>
      <w:r>
        <w:t>lassification variable, respectively.</w:t>
      </w:r>
    </w:p>
    <w:p w:rsidR="002255AC" w:rsidRDefault="00B75C00" w:rsidP="002255AC">
      <w:pPr>
        <w:ind w:left="360"/>
      </w:pPr>
      <w:r>
        <w:rPr>
          <w:noProof/>
        </w:rPr>
        <w:drawing>
          <wp:inline distT="0" distB="0" distL="0" distR="0">
            <wp:extent cx="5026660" cy="3361690"/>
            <wp:effectExtent l="19050" t="19050" r="2159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6660" cy="3361690"/>
                    </a:xfrm>
                    <a:prstGeom prst="rect">
                      <a:avLst/>
                    </a:prstGeom>
                    <a:noFill/>
                    <a:ln w="6350" cmpd="sng">
                      <a:solidFill>
                        <a:srgbClr val="000000"/>
                      </a:solidFill>
                      <a:miter lim="800000"/>
                      <a:headEnd/>
                      <a:tailEnd/>
                    </a:ln>
                    <a:effectLst/>
                  </pic:spPr>
                </pic:pic>
              </a:graphicData>
            </a:graphic>
          </wp:inline>
        </w:drawing>
      </w:r>
    </w:p>
    <w:p w:rsidR="0095568F" w:rsidRDefault="002057B3" w:rsidP="000D06AE">
      <w:pPr>
        <w:keepNext/>
        <w:keepLines/>
        <w:numPr>
          <w:ilvl w:val="0"/>
          <w:numId w:val="19"/>
        </w:numPr>
      </w:pPr>
      <w:r>
        <w:t xml:space="preserve">Under Model, click </w:t>
      </w:r>
      <w:r w:rsidRPr="00791BB2">
        <w:rPr>
          <w:b/>
          <w:u w:val="single"/>
        </w:rPr>
        <w:t>Fertilizer</w:t>
      </w:r>
      <w:r>
        <w:t xml:space="preserve"> and then</w:t>
      </w:r>
      <w:r w:rsidR="00791BB2">
        <w:t xml:space="preserve"> click </w:t>
      </w:r>
      <w:r w:rsidR="00B75C00" w:rsidRPr="007166C5">
        <w:rPr>
          <w:noProof/>
          <w:position w:val="-8"/>
        </w:rPr>
        <w:drawing>
          <wp:inline distT="0" distB="0" distL="0" distR="0">
            <wp:extent cx="1379220" cy="2273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9220" cy="227330"/>
                    </a:xfrm>
                    <a:prstGeom prst="rect">
                      <a:avLst/>
                    </a:prstGeom>
                    <a:noFill/>
                    <a:ln>
                      <a:noFill/>
                    </a:ln>
                  </pic:spPr>
                </pic:pic>
              </a:graphicData>
            </a:graphic>
          </wp:inline>
        </w:drawing>
      </w:r>
      <w:r>
        <w:t>.</w:t>
      </w:r>
    </w:p>
    <w:p w:rsidR="002255AC" w:rsidRDefault="0095568F" w:rsidP="000D06AE">
      <w:pPr>
        <w:keepNext/>
        <w:keepLines/>
        <w:ind w:left="1080" w:hanging="720"/>
      </w:pPr>
      <w:r w:rsidRPr="0095568F">
        <w:rPr>
          <w:b/>
          <w:sz w:val="28"/>
        </w:rPr>
        <w:sym w:font="Wingdings" w:char="F021"/>
      </w:r>
      <w:r>
        <w:tab/>
      </w:r>
      <w:r w:rsidR="002057B3">
        <w:t xml:space="preserve">The </w:t>
      </w:r>
      <w:r w:rsidR="002057B3" w:rsidRPr="00791BB2">
        <w:rPr>
          <w:rFonts w:ascii="Courier New" w:hAnsi="Courier New" w:cs="Courier New"/>
        </w:rPr>
        <w:t>Class and quantitative variables</w:t>
      </w:r>
      <w:r w:rsidR="002057B3" w:rsidRPr="00791BB2">
        <w:t xml:space="preserve"> </w:t>
      </w:r>
      <w:r w:rsidR="002057B3">
        <w:t xml:space="preserve">pane was populated by the selection </w:t>
      </w:r>
      <w:r w:rsidR="00434DF4">
        <w:br/>
      </w:r>
      <w:r w:rsidR="002057B3">
        <w:t>of task roles.</w:t>
      </w:r>
    </w:p>
    <w:p w:rsidR="002057B3" w:rsidRDefault="00B75C00" w:rsidP="002057B3">
      <w:pPr>
        <w:ind w:left="360"/>
      </w:pPr>
      <w:r>
        <w:rPr>
          <w:noProof/>
        </w:rPr>
        <w:drawing>
          <wp:inline distT="0" distB="0" distL="0" distR="0">
            <wp:extent cx="5259070" cy="3509645"/>
            <wp:effectExtent l="19050" t="19050" r="17780"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9070" cy="3509645"/>
                    </a:xfrm>
                    <a:prstGeom prst="rect">
                      <a:avLst/>
                    </a:prstGeom>
                    <a:noFill/>
                    <a:ln w="6350" cmpd="sng">
                      <a:solidFill>
                        <a:srgbClr val="000000"/>
                      </a:solidFill>
                      <a:miter lim="800000"/>
                      <a:headEnd/>
                      <a:tailEnd/>
                    </a:ln>
                    <a:effectLst/>
                  </pic:spPr>
                </pic:pic>
              </a:graphicData>
            </a:graphic>
          </wp:inline>
        </w:drawing>
      </w:r>
    </w:p>
    <w:p w:rsidR="002057B3" w:rsidRDefault="00D327DE" w:rsidP="000D06AE">
      <w:pPr>
        <w:keepNext/>
        <w:keepLines/>
        <w:numPr>
          <w:ilvl w:val="0"/>
          <w:numId w:val="19"/>
        </w:numPr>
      </w:pPr>
      <w:r>
        <w:t xml:space="preserve">Under </w:t>
      </w:r>
      <w:r w:rsidRPr="007166C5">
        <w:t>Model Options</w:t>
      </w:r>
      <w:r w:rsidR="007166C5">
        <w:t>,</w:t>
      </w:r>
      <w:r>
        <w:t xml:space="preserve"> uncheck </w:t>
      </w:r>
      <w:r w:rsidR="00570B96" w:rsidRPr="007166C5">
        <w:rPr>
          <w:b/>
          <w:u w:val="single"/>
        </w:rPr>
        <w:t xml:space="preserve">Type </w:t>
      </w:r>
      <w:r w:rsidR="004D5BE1" w:rsidRPr="007166C5">
        <w:rPr>
          <w:b/>
          <w:u w:val="single"/>
        </w:rPr>
        <w:t>I</w:t>
      </w:r>
      <w:r>
        <w:t xml:space="preserve"> and </w:t>
      </w:r>
      <w:r w:rsidRPr="007166C5">
        <w:rPr>
          <w:b/>
          <w:u w:val="single"/>
        </w:rPr>
        <w:t>Show parameter estimates</w:t>
      </w:r>
      <w:r>
        <w:t>.</w:t>
      </w:r>
    </w:p>
    <w:p w:rsidR="00D327DE" w:rsidRDefault="00B75C00" w:rsidP="00D327DE">
      <w:pPr>
        <w:ind w:left="360"/>
      </w:pPr>
      <w:r>
        <w:rPr>
          <w:noProof/>
        </w:rPr>
        <w:drawing>
          <wp:inline distT="0" distB="0" distL="0" distR="0">
            <wp:extent cx="5734685" cy="3826510"/>
            <wp:effectExtent l="19050" t="19050" r="1841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685" cy="3826510"/>
                    </a:xfrm>
                    <a:prstGeom prst="rect">
                      <a:avLst/>
                    </a:prstGeom>
                    <a:noFill/>
                    <a:ln w="6350" cmpd="sng">
                      <a:solidFill>
                        <a:srgbClr val="000000"/>
                      </a:solidFill>
                      <a:miter lim="800000"/>
                      <a:headEnd/>
                      <a:tailEnd/>
                    </a:ln>
                    <a:effectLst/>
                  </pic:spPr>
                </pic:pic>
              </a:graphicData>
            </a:graphic>
          </wp:inline>
        </w:drawing>
      </w:r>
    </w:p>
    <w:p w:rsidR="0084485D" w:rsidRDefault="0084485D" w:rsidP="0084485D">
      <w:pPr>
        <w:ind w:left="360"/>
      </w:pPr>
    </w:p>
    <w:p w:rsidR="00D327DE" w:rsidRPr="00851DC4" w:rsidRDefault="00D327DE" w:rsidP="00106AF5">
      <w:pPr>
        <w:numPr>
          <w:ilvl w:val="0"/>
          <w:numId w:val="19"/>
        </w:numPr>
      </w:pPr>
      <w:r>
        <w:t xml:space="preserve">Click </w:t>
      </w:r>
      <w:r w:rsidR="00B75C00" w:rsidRPr="007166C5">
        <w:rPr>
          <w:noProof/>
          <w:position w:val="-8"/>
        </w:rPr>
        <w:drawing>
          <wp:inline distT="0" distB="0" distL="0" distR="0">
            <wp:extent cx="713740" cy="2006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740" cy="200660"/>
                    </a:xfrm>
                    <a:prstGeom prst="rect">
                      <a:avLst/>
                    </a:prstGeom>
                    <a:noFill/>
                    <a:ln>
                      <a:noFill/>
                    </a:ln>
                  </pic:spPr>
                </pic:pic>
              </a:graphicData>
            </a:graphic>
          </wp:inline>
        </w:drawing>
      </w:r>
      <w:r>
        <w:t>.</w:t>
      </w:r>
    </w:p>
    <w:p w:rsidR="0084485D" w:rsidRDefault="0084485D" w:rsidP="000F2B99">
      <w:pPr>
        <w:keepNext/>
        <w:keepLines/>
        <w:numPr>
          <w:ilvl w:val="12"/>
          <w:numId w:val="0"/>
        </w:numPr>
      </w:pPr>
    </w:p>
    <w:p w:rsidR="00D327DE" w:rsidRDefault="000F2B99" w:rsidP="000F2B99">
      <w:pPr>
        <w:keepNext/>
        <w:keepLines/>
        <w:numPr>
          <w:ilvl w:val="12"/>
          <w:numId w:val="0"/>
        </w:numPr>
        <w:rPr>
          <w:i/>
        </w:rPr>
      </w:pPr>
      <w:r>
        <w:t>Turn your attention to the first page of the output, which</w:t>
      </w:r>
      <w:r w:rsidR="007C6AE3">
        <w:t xml:space="preserve"> specifies the number of levels and</w:t>
      </w:r>
      <w:r>
        <w:t xml:space="preserve"> the values of the class variable, and the number of observations read versus the number of observations used.</w:t>
      </w:r>
      <w:r w:rsidR="007C6AE3">
        <w:t xml:space="preserve"> These values are the same because there are no missing values for any variable in the model. </w:t>
      </w:r>
      <w:r>
        <w:t xml:space="preserve">If any row </w:t>
      </w:r>
      <w:r w:rsidRPr="00CD78B6">
        <w:rPr>
          <w:b/>
        </w:rPr>
        <w:t>has missing data</w:t>
      </w:r>
      <w:r w:rsidRPr="00CD78B6">
        <w:t xml:space="preserve"> for a predictor or response variable, that row is </w:t>
      </w:r>
      <w:r w:rsidRPr="00CD78B6">
        <w:rPr>
          <w:b/>
        </w:rPr>
        <w:t>dropped</w:t>
      </w:r>
      <w:r w:rsidRPr="00CD78B6">
        <w:t xml:space="preserve"> from the analysis</w:t>
      </w:r>
      <w:r w:rsidRPr="00D327DE">
        <w:rPr>
          <w:i/>
        </w:rPr>
        <w:t>.</w:t>
      </w:r>
    </w:p>
    <w:p w:rsidR="0084485D" w:rsidRPr="00D327DE" w:rsidRDefault="0084485D" w:rsidP="000F2B99">
      <w:pPr>
        <w:keepNext/>
        <w:keepLines/>
        <w:numPr>
          <w:ilvl w:val="12"/>
          <w:numId w:val="0"/>
        </w:numPr>
        <w:rPr>
          <w:i/>
        </w:rPr>
      </w:pPr>
    </w:p>
    <w:p w:rsidR="00D327DE" w:rsidRDefault="00D327DE" w:rsidP="00595FAF">
      <w:pPr>
        <w:numPr>
          <w:ilvl w:val="12"/>
          <w:numId w:val="0"/>
        </w:numPr>
        <w:rPr>
          <w:rFonts w:ascii="SAS Monospace" w:hAnsi="SAS Monospace" w:cs="SAS Monospace"/>
          <w:kern w:val="0"/>
          <w:sz w:val="16"/>
          <w:szCs w:val="16"/>
        </w:rPr>
      </w:pPr>
    </w:p>
    <w:p w:rsidR="0084485D" w:rsidRDefault="0084485D" w:rsidP="00F51EDC">
      <w:pPr>
        <w:numPr>
          <w:ilvl w:val="12"/>
          <w:numId w:val="0"/>
        </w:numPr>
        <w:jc w:val="center"/>
      </w:pPr>
    </w:p>
    <w:p w:rsidR="000F2B99" w:rsidRDefault="00F51EDC" w:rsidP="00F51EDC">
      <w:pPr>
        <w:jc w:val="center"/>
      </w:pPr>
      <w:r>
        <w:rPr>
          <w:noProof/>
        </w:rPr>
        <w:drawing>
          <wp:inline distT="0" distB="0" distL="0" distR="0">
            <wp:extent cx="2295525" cy="1600200"/>
            <wp:effectExtent l="19050" t="0" r="952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2295525" cy="1600200"/>
                    </a:xfrm>
                    <a:prstGeom prst="rect">
                      <a:avLst/>
                    </a:prstGeom>
                    <a:noFill/>
                    <a:ln w="9525">
                      <a:noFill/>
                      <a:miter lim="800000"/>
                      <a:headEnd/>
                      <a:tailEnd/>
                    </a:ln>
                  </pic:spPr>
                </pic:pic>
              </a:graphicData>
            </a:graphic>
          </wp:inline>
        </w:drawing>
      </w:r>
      <w:r w:rsidR="0084485D">
        <w:br w:type="page"/>
      </w:r>
      <w:r w:rsidR="000F2B99">
        <w:t>The second page of the output contains all of the information that is needed to test the equality of the treatment means.</w:t>
      </w:r>
      <w:r w:rsidR="00876277">
        <w:t xml:space="preserve"> </w:t>
      </w:r>
      <w:r w:rsidR="00595FAF">
        <w:t xml:space="preserve">It </w:t>
      </w:r>
      <w:r w:rsidR="000F2B99">
        <w:t>is divided into three parts:</w:t>
      </w:r>
    </w:p>
    <w:p w:rsidR="000F2B99" w:rsidRDefault="000F2B99" w:rsidP="000F2B99">
      <w:pPr>
        <w:pStyle w:val="BulletedNormal"/>
        <w:keepNext/>
        <w:keepLines/>
      </w:pPr>
      <w:r>
        <w:t>the analysis of variance table</w:t>
      </w:r>
    </w:p>
    <w:p w:rsidR="000F2B99" w:rsidRDefault="000F2B99" w:rsidP="000F2B99">
      <w:pPr>
        <w:pStyle w:val="BulletedNormal"/>
        <w:keepNext/>
        <w:keepLines/>
      </w:pPr>
      <w:r>
        <w:t>descriptive information</w:t>
      </w:r>
    </w:p>
    <w:p w:rsidR="000F2B99" w:rsidRDefault="000F2B99" w:rsidP="00402CFB">
      <w:pPr>
        <w:pStyle w:val="BulletedNormal"/>
      </w:pPr>
      <w:r>
        <w:t>information about the class variable in the model</w:t>
      </w:r>
    </w:p>
    <w:p w:rsidR="0084485D" w:rsidRDefault="000F2B99" w:rsidP="00402CFB">
      <w:pPr>
        <w:keepNext/>
        <w:keepLines/>
        <w:numPr>
          <w:ilvl w:val="12"/>
          <w:numId w:val="0"/>
        </w:numPr>
      </w:pPr>
      <w:r>
        <w:t>Look at each of these parts separately.</w:t>
      </w:r>
      <w:r w:rsidR="00F51EDC">
        <w:t xml:space="preserve"> </w:t>
      </w:r>
    </w:p>
    <w:p w:rsidR="0084485D" w:rsidRDefault="00F51EDC" w:rsidP="00F51EDC">
      <w:pPr>
        <w:keepNext/>
        <w:keepLines/>
        <w:numPr>
          <w:ilvl w:val="12"/>
          <w:numId w:val="0"/>
        </w:numPr>
        <w:jc w:val="center"/>
      </w:pPr>
      <w:r>
        <w:rPr>
          <w:noProof/>
        </w:rPr>
        <w:drawing>
          <wp:inline distT="0" distB="0" distL="0" distR="0">
            <wp:extent cx="4552950" cy="1190625"/>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4552950" cy="1190625"/>
                    </a:xfrm>
                    <a:prstGeom prst="rect">
                      <a:avLst/>
                    </a:prstGeom>
                    <a:noFill/>
                    <a:ln w="9525">
                      <a:noFill/>
                      <a:miter lim="800000"/>
                      <a:headEnd/>
                      <a:tailEnd/>
                    </a:ln>
                  </pic:spPr>
                </pic:pic>
              </a:graphicData>
            </a:graphic>
          </wp:inline>
        </w:drawing>
      </w:r>
    </w:p>
    <w:p w:rsidR="000F2B99" w:rsidRDefault="000F2B99" w:rsidP="000F2B99">
      <w:pPr>
        <w:keepNext/>
        <w:keepLines/>
        <w:numPr>
          <w:ilvl w:val="12"/>
          <w:numId w:val="0"/>
        </w:numPr>
      </w:pPr>
      <w:r>
        <w:t xml:space="preserve">In general, </w:t>
      </w:r>
      <w:r>
        <w:rPr>
          <w:i/>
        </w:rPr>
        <w:t>degrees of freedom</w:t>
      </w:r>
      <w:r>
        <w:t xml:space="preserve"> (DF) can be thought of as the number of independent pieces of information.</w:t>
      </w:r>
      <w:r w:rsidR="00FD1DD0" w:rsidRPr="002F585E">
        <w:rPr>
          <w:sz w:val="4"/>
        </w:rPr>
        <w:fldChar w:fldCharType="begin"/>
      </w:r>
      <w:r w:rsidRPr="002F585E">
        <w:rPr>
          <w:sz w:val="4"/>
        </w:rPr>
        <w:instrText>xe "degrees of freedom"</w:instrText>
      </w:r>
      <w:r w:rsidR="00FD1DD0" w:rsidRPr="002F585E">
        <w:rPr>
          <w:sz w:val="4"/>
        </w:rPr>
        <w:fldChar w:fldCharType="end"/>
      </w:r>
    </w:p>
    <w:p w:rsidR="000F2B99" w:rsidRDefault="000F2B99" w:rsidP="000F2B99">
      <w:pPr>
        <w:pStyle w:val="BulletedNormal"/>
        <w:keepNext/>
        <w:keepLines/>
      </w:pPr>
      <w:r>
        <w:t>Model DF is the number of treatments minus 1.</w:t>
      </w:r>
    </w:p>
    <w:p w:rsidR="00595FAF" w:rsidRDefault="00595FAF" w:rsidP="00595FAF">
      <w:pPr>
        <w:pStyle w:val="BulletedNormal"/>
        <w:keepNext/>
        <w:keepLines/>
      </w:pPr>
      <w:r>
        <w:t>Corrected total DF is the sample size minus 1.</w:t>
      </w:r>
    </w:p>
    <w:p w:rsidR="00595FAF" w:rsidRDefault="00595FAF" w:rsidP="00595FAF">
      <w:pPr>
        <w:pStyle w:val="BulletedNormal"/>
        <w:keepNext/>
        <w:keepLines/>
      </w:pPr>
      <w:r>
        <w:t>Error DF is the sample size minus the number of treatments (or the difference between the corr</w:t>
      </w:r>
      <w:r w:rsidR="008F0910">
        <w:t>ected total DF and the Model DF</w:t>
      </w:r>
      <w:r>
        <w:t>.</w:t>
      </w:r>
    </w:p>
    <w:p w:rsidR="000F2B99" w:rsidRDefault="000F2B99" w:rsidP="000F2B99">
      <w:pPr>
        <w:keepLines/>
        <w:numPr>
          <w:ilvl w:val="12"/>
          <w:numId w:val="0"/>
        </w:numPr>
      </w:pPr>
      <w:r>
        <w:rPr>
          <w:i/>
        </w:rPr>
        <w:t>Mean squares</w:t>
      </w:r>
      <w:r>
        <w:t xml:space="preserve"> are calculated by taking sums of squares and dividing by the corresponding degrees of freedom.</w:t>
      </w:r>
      <w:r w:rsidR="00595FAF">
        <w:t xml:space="preserve"> They can be thought of as variances.</w:t>
      </w:r>
      <w:r w:rsidR="00FD1DD0" w:rsidRPr="002F585E">
        <w:rPr>
          <w:sz w:val="4"/>
        </w:rPr>
        <w:fldChar w:fldCharType="begin"/>
      </w:r>
      <w:r w:rsidRPr="002F585E">
        <w:rPr>
          <w:sz w:val="4"/>
        </w:rPr>
        <w:instrText>xe "mean squares"</w:instrText>
      </w:r>
      <w:r w:rsidR="00FD1DD0" w:rsidRPr="002F585E">
        <w:rPr>
          <w:sz w:val="4"/>
        </w:rPr>
        <w:fldChar w:fldCharType="end"/>
      </w:r>
    </w:p>
    <w:p w:rsidR="000F2B99" w:rsidRDefault="000F2B99" w:rsidP="000F2B99">
      <w:pPr>
        <w:pStyle w:val="BulletedNormal"/>
        <w:keepLines/>
      </w:pPr>
      <w:r>
        <w:t xml:space="preserve">Mean square for error (MSE) is an estimate of </w:t>
      </w:r>
      <w:r>
        <w:sym w:font="Symbol" w:char="F073"/>
      </w:r>
      <w:r>
        <w:rPr>
          <w:vertAlign w:val="superscript"/>
        </w:rPr>
        <w:t>2</w:t>
      </w:r>
      <w:r>
        <w:t>, the constant variance assumed for all treatments.</w:t>
      </w:r>
    </w:p>
    <w:p w:rsidR="000F2B99" w:rsidRDefault="000F2B99" w:rsidP="000F2B99">
      <w:pPr>
        <w:pStyle w:val="BulletedNormal"/>
        <w:keepLines/>
      </w:pPr>
      <w:r>
        <w:t xml:space="preserve">If </w:t>
      </w:r>
      <w:r>
        <w:sym w:font="Symbol" w:char="F06D"/>
      </w:r>
      <w:r>
        <w:rPr>
          <w:vertAlign w:val="subscript"/>
        </w:rPr>
        <w:t xml:space="preserve">i </w:t>
      </w:r>
      <w:r>
        <w:t xml:space="preserve">= </w:t>
      </w:r>
      <w:r>
        <w:sym w:font="Symbol" w:char="F06D"/>
      </w:r>
      <w:r>
        <w:rPr>
          <w:vertAlign w:val="subscript"/>
        </w:rPr>
        <w:t>j</w:t>
      </w:r>
      <w:r>
        <w:t xml:space="preserve">, for all i </w:t>
      </w:r>
      <w:r>
        <w:sym w:font="Symbol" w:char="F0B9"/>
      </w:r>
      <w:r>
        <w:t xml:space="preserve"> j, then the mean square for the model (</w:t>
      </w:r>
      <w:smartTag w:uri="urn:schemas-microsoft-com:office:smarttags" w:element="stockticker">
        <w:r>
          <w:t>MSM</w:t>
        </w:r>
      </w:smartTag>
      <w:r>
        <w:t xml:space="preserve">) is also an estimate of </w:t>
      </w:r>
      <w:r>
        <w:sym w:font="Symbol" w:char="F073"/>
      </w:r>
      <w:r>
        <w:rPr>
          <w:vertAlign w:val="superscript"/>
        </w:rPr>
        <w:t>2</w:t>
      </w:r>
      <w:r>
        <w:t>.</w:t>
      </w:r>
    </w:p>
    <w:p w:rsidR="000F2B99" w:rsidRDefault="000F2B99" w:rsidP="000F2B99">
      <w:pPr>
        <w:pStyle w:val="BulletedNormal"/>
        <w:keepLines/>
      </w:pPr>
      <w:r>
        <w:t xml:space="preserve">If </w:t>
      </w:r>
      <w:r>
        <w:sym w:font="Symbol" w:char="F06D"/>
      </w:r>
      <w:r>
        <w:rPr>
          <w:snapToGrid/>
          <w:vertAlign w:val="subscript"/>
        </w:rPr>
        <w:t>i</w:t>
      </w:r>
      <w:r>
        <w:rPr>
          <w:vertAlign w:val="subscript"/>
        </w:rPr>
        <w:t xml:space="preserve"> </w:t>
      </w:r>
      <w:r>
        <w:sym w:font="Symbol" w:char="F0B9"/>
      </w:r>
      <w:r>
        <w:t xml:space="preserve"> </w:t>
      </w:r>
      <w:r>
        <w:sym w:font="Symbol" w:char="F06D"/>
      </w:r>
      <w:r>
        <w:rPr>
          <w:vertAlign w:val="subscript"/>
        </w:rPr>
        <w:t>j</w:t>
      </w:r>
      <w:r>
        <w:t xml:space="preserve">, for any i </w:t>
      </w:r>
      <w:r>
        <w:sym w:font="Symbol" w:char="F0B9"/>
      </w:r>
      <w:r>
        <w:t xml:space="preserve"> j, then </w:t>
      </w:r>
      <w:smartTag w:uri="urn:schemas-microsoft-com:office:smarttags" w:element="stockticker">
        <w:r>
          <w:t>MSM</w:t>
        </w:r>
      </w:smartTag>
      <w:r>
        <w:t xml:space="preserve"> estimates </w:t>
      </w:r>
      <w:r>
        <w:sym w:font="Symbol" w:char="F073"/>
      </w:r>
      <w:r>
        <w:rPr>
          <w:vertAlign w:val="superscript"/>
        </w:rPr>
        <w:t>2</w:t>
      </w:r>
      <w:r>
        <w:t xml:space="preserve"> plus a positive constant.</w:t>
      </w:r>
    </w:p>
    <w:p w:rsidR="000F2B99" w:rsidRDefault="000F2B99" w:rsidP="000F2B99">
      <w:pPr>
        <w:pStyle w:val="BulletedNormal"/>
        <w:keepLines/>
      </w:pPr>
      <w:r w:rsidRPr="00FD1DD0">
        <w:rPr>
          <w:position w:val="-24"/>
          <w:sz w:val="20"/>
        </w:rPr>
        <w:object w:dxaOrig="1120" w:dyaOrig="620">
          <v:shape id="_x0000_i1028" type="#_x0000_t75" style="width:56.25pt;height:30.75pt" o:ole="" fillcolor="window">
            <v:imagedata r:id="rId43" o:title=""/>
          </v:shape>
          <o:OLEObject Type="Embed" ProgID="Equation.3" ShapeID="_x0000_i1028" DrawAspect="Content" ObjectID="_1507003854" r:id="rId44"/>
        </w:object>
      </w:r>
      <w:r>
        <w:t>.</w:t>
      </w:r>
    </w:p>
    <w:p w:rsidR="000F2B99" w:rsidRPr="0084485D" w:rsidRDefault="000F2B99" w:rsidP="000F2B99">
      <w:pPr>
        <w:ind w:left="720" w:hanging="720"/>
        <w:rPr>
          <w:i/>
        </w:rPr>
      </w:pPr>
      <w:r w:rsidRPr="00402CFB">
        <w:rPr>
          <w:b/>
          <w:sz w:val="28"/>
        </w:rPr>
        <w:sym w:font="Wingdings" w:char="F021"/>
      </w:r>
      <w:r>
        <w:tab/>
      </w:r>
      <w:r w:rsidRPr="0084485D">
        <w:rPr>
          <w:i/>
        </w:rPr>
        <w:t xml:space="preserve">Variance is the traditional measure of precision. Mean Square Error (MSE) is the traditional measure of accuracy used by statisticians. MSE is equal to variance plus bias-squared. Because the expected value of the sample mean </w:t>
      </w:r>
      <w:r w:rsidRPr="0084485D">
        <w:rPr>
          <w:i/>
          <w:position w:val="-10"/>
        </w:rPr>
        <w:object w:dxaOrig="360" w:dyaOrig="340">
          <v:shape id="_x0000_i1029" type="#_x0000_t75" style="width:18pt;height:17.25pt" o:ole="">
            <v:imagedata r:id="rId45" o:title=""/>
          </v:shape>
          <o:OLEObject Type="Embed" ProgID="Equation.3" ShapeID="_x0000_i1029" DrawAspect="Content" ObjectID="_1507003855" r:id="rId46"/>
        </w:object>
      </w:r>
      <w:r w:rsidRPr="0084485D">
        <w:rPr>
          <w:i/>
        </w:rPr>
        <w:t xml:space="preserve"> equals the population mean (</w:t>
      </w:r>
      <w:r w:rsidRPr="0084485D">
        <w:rPr>
          <w:i/>
        </w:rPr>
        <w:sym w:font="Symbol" w:char="F06D"/>
      </w:r>
      <w:r w:rsidRPr="0084485D">
        <w:rPr>
          <w:i/>
        </w:rPr>
        <w:t>), MSE equals the variance.</w:t>
      </w:r>
    </w:p>
    <w:p w:rsidR="000F2B99" w:rsidRDefault="000F2B99" w:rsidP="000F2B99">
      <w:pPr>
        <w:keepLines/>
        <w:numPr>
          <w:ilvl w:val="12"/>
          <w:numId w:val="0"/>
        </w:numPr>
      </w:pPr>
      <w:r>
        <w:t xml:space="preserve">Based on the above, if the </w:t>
      </w:r>
      <w:r>
        <w:rPr>
          <w:i/>
        </w:rPr>
        <w:t>F</w:t>
      </w:r>
      <w:r>
        <w:t xml:space="preserve"> statistic is significantly larger than 1, it supports rejecting the null hypothesis, concluding that the treatment means are not equal.</w:t>
      </w:r>
      <w:r w:rsidR="00FD1DD0" w:rsidRPr="002F585E">
        <w:rPr>
          <w:sz w:val="4"/>
        </w:rPr>
        <w:fldChar w:fldCharType="begin"/>
      </w:r>
      <w:r w:rsidRPr="002F585E">
        <w:rPr>
          <w:sz w:val="4"/>
        </w:rPr>
        <w:instrText>xe "</w:instrText>
      </w:r>
      <w:r w:rsidRPr="002F585E">
        <w:rPr>
          <w:i/>
          <w:sz w:val="4"/>
        </w:rPr>
        <w:instrText>F</w:instrText>
      </w:r>
      <w:r w:rsidRPr="002F585E">
        <w:rPr>
          <w:sz w:val="4"/>
        </w:rPr>
        <w:instrText xml:space="preserve"> statistic"</w:instrText>
      </w:r>
      <w:r w:rsidR="00FD1DD0" w:rsidRPr="002F585E">
        <w:rPr>
          <w:sz w:val="4"/>
        </w:rPr>
        <w:fldChar w:fldCharType="end"/>
      </w:r>
    </w:p>
    <w:p w:rsidR="00D327DE" w:rsidRDefault="0084485D" w:rsidP="000F2B99">
      <w:pPr>
        <w:keepLines/>
        <w:numPr>
          <w:ilvl w:val="12"/>
          <w:numId w:val="0"/>
        </w:numPr>
      </w:pPr>
      <w:r>
        <w:br w:type="page"/>
      </w:r>
      <w:r w:rsidR="000F2B99">
        <w:t xml:space="preserve">The </w:t>
      </w:r>
      <w:r w:rsidR="000F2B99">
        <w:rPr>
          <w:i/>
        </w:rPr>
        <w:t>F</w:t>
      </w:r>
      <w:r w:rsidR="000F2B99">
        <w:t xml:space="preserve"> statistic and corresponding </w:t>
      </w:r>
      <w:r w:rsidR="000F2B99">
        <w:rPr>
          <w:i/>
        </w:rPr>
        <w:t>p</w:t>
      </w:r>
      <w:r w:rsidR="000F2B99">
        <w:noBreakHyphen/>
        <w:t xml:space="preserve">value are reported in the analysis of variance table. Because the reported </w:t>
      </w:r>
      <w:r w:rsidR="000F2B99">
        <w:rPr>
          <w:i/>
        </w:rPr>
        <w:t>p</w:t>
      </w:r>
      <w:r w:rsidR="000F2B99">
        <w:noBreakHyphen/>
        <w:t>value</w:t>
      </w:r>
      <w:r w:rsidR="00304DC1">
        <w:t xml:space="preserve"> (0.1432)</w:t>
      </w:r>
      <w:r w:rsidR="000F2B99">
        <w:t xml:space="preserve"> is greater than 0.05, </w:t>
      </w:r>
      <w:r w:rsidR="000F2B99" w:rsidRPr="00BA75D3">
        <w:t xml:space="preserve">you conclude that there is </w:t>
      </w:r>
      <w:r w:rsidR="000F2B99" w:rsidRPr="00BA75D3">
        <w:rPr>
          <w:b/>
        </w:rPr>
        <w:t>no</w:t>
      </w:r>
      <w:r w:rsidR="000F2B99" w:rsidRPr="00BA75D3">
        <w:t xml:space="preserve"> statistically significant difference between the means</w:t>
      </w:r>
      <w:r w:rsidR="000F2B99">
        <w:t>.</w:t>
      </w:r>
    </w:p>
    <w:p w:rsidR="0084485D" w:rsidRDefault="00F51EDC" w:rsidP="00F51EDC">
      <w:pPr>
        <w:keepLines/>
        <w:numPr>
          <w:ilvl w:val="12"/>
          <w:numId w:val="0"/>
        </w:numPr>
        <w:jc w:val="center"/>
      </w:pPr>
      <w:r>
        <w:rPr>
          <w:noProof/>
        </w:rPr>
        <w:drawing>
          <wp:inline distT="0" distB="0" distL="0" distR="0">
            <wp:extent cx="3171825" cy="581025"/>
            <wp:effectExtent l="19050" t="0" r="9525"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3171825" cy="581025"/>
                    </a:xfrm>
                    <a:prstGeom prst="rect">
                      <a:avLst/>
                    </a:prstGeom>
                    <a:noFill/>
                    <a:ln w="9525">
                      <a:noFill/>
                      <a:miter lim="800000"/>
                      <a:headEnd/>
                      <a:tailEnd/>
                    </a:ln>
                  </pic:spPr>
                </pic:pic>
              </a:graphicData>
            </a:graphic>
          </wp:inline>
        </w:drawing>
      </w:r>
    </w:p>
    <w:p w:rsidR="0084485D" w:rsidRDefault="0084485D" w:rsidP="000F2B99">
      <w:pPr>
        <w:keepNext/>
        <w:keepLines/>
        <w:numPr>
          <w:ilvl w:val="12"/>
          <w:numId w:val="0"/>
        </w:numPr>
      </w:pPr>
    </w:p>
    <w:p w:rsidR="000F2B99" w:rsidRDefault="000F2B99" w:rsidP="000F2B99">
      <w:pPr>
        <w:keepNext/>
        <w:keepLines/>
        <w:numPr>
          <w:ilvl w:val="12"/>
          <w:numId w:val="0"/>
        </w:numPr>
      </w:pPr>
      <w:r>
        <w:t xml:space="preserve">The </w:t>
      </w:r>
      <w:r>
        <w:rPr>
          <w:i/>
        </w:rPr>
        <w:t>coefficient of determination</w:t>
      </w:r>
      <w:r>
        <w:t>, R</w:t>
      </w:r>
      <w:r>
        <w:rPr>
          <w:vertAlign w:val="superscript"/>
        </w:rPr>
        <w:t>2</w:t>
      </w:r>
      <w:r>
        <w:t xml:space="preserve">, denoted in this table as R-Square, is a measure of the proportion of variability explained by the independent variables in the analysis. This statistic is calculated as </w:t>
      </w:r>
      <w:r w:rsidRPr="00FD1DD0">
        <w:rPr>
          <w:position w:val="-24"/>
          <w:sz w:val="20"/>
        </w:rPr>
        <w:object w:dxaOrig="1120" w:dyaOrig="620">
          <v:shape id="_x0000_i1030" type="#_x0000_t75" style="width:56.25pt;height:30.75pt" o:ole="" fillcolor="window">
            <v:imagedata r:id="rId48" o:title=""/>
          </v:shape>
          <o:OLEObject Type="Embed" ProgID="Equation.3" ShapeID="_x0000_i1030" DrawAspect="Content" ObjectID="_1507003856" r:id="rId49"/>
        </w:object>
      </w:r>
      <w:r w:rsidR="00FD1DD0" w:rsidRPr="002F585E">
        <w:rPr>
          <w:sz w:val="4"/>
        </w:rPr>
        <w:fldChar w:fldCharType="begin"/>
      </w:r>
      <w:r w:rsidRPr="002F585E">
        <w:rPr>
          <w:sz w:val="4"/>
        </w:rPr>
        <w:instrText>xe "coefficient of determination (R-Square)"</w:instrText>
      </w:r>
      <w:r w:rsidR="00FD1DD0" w:rsidRPr="002F585E">
        <w:rPr>
          <w:sz w:val="4"/>
        </w:rPr>
        <w:fldChar w:fldCharType="end"/>
      </w:r>
    </w:p>
    <w:p w:rsidR="000F2B99" w:rsidRDefault="000F2B99" w:rsidP="000F2B99">
      <w:pPr>
        <w:keepNext/>
        <w:keepLines/>
        <w:numPr>
          <w:ilvl w:val="12"/>
          <w:numId w:val="0"/>
        </w:numPr>
      </w:pPr>
      <w:r>
        <w:t>The value of R</w:t>
      </w:r>
      <w:r>
        <w:rPr>
          <w:vertAlign w:val="superscript"/>
        </w:rPr>
        <w:t>2</w:t>
      </w:r>
      <w:r>
        <w:t xml:space="preserve"> is between 0 and 1. The value is</w:t>
      </w:r>
    </w:p>
    <w:p w:rsidR="000F2B99" w:rsidRDefault="000F2B99" w:rsidP="000F2B99">
      <w:pPr>
        <w:pStyle w:val="BulletedNormal"/>
        <w:keepNext/>
        <w:keepLines/>
      </w:pPr>
      <w:r>
        <w:t>close to 0 if the independent variables do not explain much variability in the data</w:t>
      </w:r>
    </w:p>
    <w:p w:rsidR="000F2B99" w:rsidRDefault="000F2B99" w:rsidP="000F2B99">
      <w:pPr>
        <w:pStyle w:val="BulletedNormal"/>
        <w:keepNext/>
        <w:keepLines/>
      </w:pPr>
      <w:r>
        <w:t>close to 1 if the independent variables explain a relatively large proportion of variability in the data.</w:t>
      </w:r>
    </w:p>
    <w:p w:rsidR="000F2B99" w:rsidRDefault="000F2B99" w:rsidP="000F2B99">
      <w:pPr>
        <w:keepNext/>
        <w:keepLines/>
      </w:pPr>
      <w:r>
        <w:t>Although values of R</w:t>
      </w:r>
      <w:r>
        <w:rPr>
          <w:vertAlign w:val="superscript"/>
        </w:rPr>
        <w:t>2</w:t>
      </w:r>
      <w:r>
        <w:t xml:space="preserve"> closer to 1 are preferred, judging the magnitude of R</w:t>
      </w:r>
      <w:r>
        <w:rPr>
          <w:vertAlign w:val="superscript"/>
        </w:rPr>
        <w:t>2</w:t>
      </w:r>
      <w:r>
        <w:t xml:space="preserve"> depends on the context of the problem.</w:t>
      </w:r>
    </w:p>
    <w:p w:rsidR="000F2B99" w:rsidRDefault="000F2B99" w:rsidP="000F2B99">
      <w:pPr>
        <w:keepLines/>
      </w:pPr>
      <w:r>
        <w:t>The coefficient of variation (denoted Coeff Var) expresses the root MSE (the estimate of the standard deviation for all treatments) as a percent of the mean. It is a unitless measure that is useful in comparing the variability of two sets of data with different units of measure.</w:t>
      </w:r>
      <w:r w:rsidR="00FD1DD0" w:rsidRPr="002F585E">
        <w:rPr>
          <w:sz w:val="4"/>
        </w:rPr>
        <w:fldChar w:fldCharType="begin"/>
      </w:r>
      <w:r w:rsidRPr="002F585E">
        <w:rPr>
          <w:sz w:val="4"/>
        </w:rPr>
        <w:instrText>xe "coefficient of variation"</w:instrText>
      </w:r>
      <w:r w:rsidR="00FD1DD0" w:rsidRPr="002F585E">
        <w:rPr>
          <w:sz w:val="4"/>
        </w:rPr>
        <w:fldChar w:fldCharType="end"/>
      </w:r>
    </w:p>
    <w:p w:rsidR="0084485D" w:rsidRDefault="0084485D" w:rsidP="000F2B99">
      <w:pPr>
        <w:keepLines/>
      </w:pPr>
    </w:p>
    <w:p w:rsidR="000F2B99" w:rsidRDefault="000F2B99" w:rsidP="000F2B99">
      <w:pPr>
        <w:keepLines/>
      </w:pPr>
      <w:r>
        <w:t xml:space="preserve">The BulbWt Mean is the mean of all of the data values in the variable </w:t>
      </w:r>
      <w:r>
        <w:rPr>
          <w:rFonts w:ascii="Courier New" w:hAnsi="Courier New"/>
          <w:b/>
          <w:kern w:val="0"/>
        </w:rPr>
        <w:t>BulbWt</w:t>
      </w:r>
      <w:r>
        <w:t xml:space="preserve"> without regard to </w:t>
      </w:r>
      <w:r>
        <w:rPr>
          <w:rFonts w:ascii="Courier New" w:hAnsi="Courier New"/>
          <w:b/>
          <w:kern w:val="0"/>
        </w:rPr>
        <w:t>Fertilizer</w:t>
      </w:r>
      <w:r>
        <w:t>.</w:t>
      </w:r>
    </w:p>
    <w:p w:rsidR="0084485D" w:rsidRDefault="000F2B99" w:rsidP="000F2B99">
      <w:pPr>
        <w:keepLines/>
      </w:pPr>
      <w:r>
        <w:t>Some interpret the R</w:t>
      </w:r>
      <w:r>
        <w:rPr>
          <w:vertAlign w:val="superscript"/>
        </w:rPr>
        <w:t>2</w:t>
      </w:r>
      <w:r>
        <w:t xml:space="preserve"> value as the “proportion of vari</w:t>
      </w:r>
      <w:r w:rsidR="005D1A3D">
        <w:t>ance accounted for by the model</w:t>
      </w:r>
      <w:r>
        <w:t>”</w:t>
      </w:r>
      <w:r w:rsidR="005D1A3D">
        <w:t>.</w:t>
      </w:r>
      <w:r>
        <w:t xml:space="preserve"> Therefore, one might say that in this model, </w:t>
      </w:r>
      <w:r w:rsidRPr="008B6A37">
        <w:rPr>
          <w:rFonts w:ascii="Courier New" w:hAnsi="Courier New" w:cs="Courier New"/>
          <w:b/>
          <w:kern w:val="0"/>
        </w:rPr>
        <w:t>Fertilizer</w:t>
      </w:r>
      <w:r>
        <w:t xml:space="preserve"> explains about 17% of the variability of </w:t>
      </w:r>
      <w:r w:rsidRPr="008B6A37">
        <w:rPr>
          <w:rFonts w:ascii="Courier New" w:hAnsi="Courier New" w:cs="Courier New"/>
          <w:b/>
          <w:kern w:val="0"/>
        </w:rPr>
        <w:t>BulbWt</w:t>
      </w:r>
      <w:r>
        <w:t>.</w:t>
      </w:r>
    </w:p>
    <w:p w:rsidR="0084485D" w:rsidRDefault="00F51EDC" w:rsidP="00F51EDC">
      <w:pPr>
        <w:jc w:val="center"/>
      </w:pPr>
      <w:r>
        <w:rPr>
          <w:noProof/>
        </w:rPr>
        <w:drawing>
          <wp:inline distT="0" distB="0" distL="0" distR="0">
            <wp:extent cx="3867150" cy="628650"/>
            <wp:effectExtent l="1905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3867150" cy="628650"/>
                    </a:xfrm>
                    <a:prstGeom prst="rect">
                      <a:avLst/>
                    </a:prstGeom>
                    <a:noFill/>
                    <a:ln w="9525">
                      <a:noFill/>
                      <a:miter lim="800000"/>
                      <a:headEnd/>
                      <a:tailEnd/>
                    </a:ln>
                  </pic:spPr>
                </pic:pic>
              </a:graphicData>
            </a:graphic>
          </wp:inline>
        </w:drawing>
      </w:r>
    </w:p>
    <w:p w:rsidR="000F2B99" w:rsidRDefault="000F2B99" w:rsidP="00081740">
      <w:r>
        <w:t>For a one</w:t>
      </w:r>
      <w:r>
        <w:noBreakHyphen/>
        <w:t xml:space="preserve">way analysis of variance </w:t>
      </w:r>
      <w:r w:rsidRPr="0084485D">
        <w:rPr>
          <w:i/>
        </w:rPr>
        <w:t>(only one classification variable)</w:t>
      </w:r>
      <w:r>
        <w:t>, the information about the class variable in the model is an exact duplicate of the model line of the analysis of variance table.</w:t>
      </w:r>
    </w:p>
    <w:p w:rsidR="00736996" w:rsidRDefault="000F2B99" w:rsidP="000F2B99">
      <w:pPr>
        <w:ind w:left="720" w:hanging="720"/>
      </w:pPr>
      <w:r w:rsidRPr="000F2B99">
        <w:rPr>
          <w:b/>
          <w:sz w:val="28"/>
        </w:rPr>
        <w:sym w:font="Wingdings" w:char="F021"/>
      </w:r>
      <w:r>
        <w:tab/>
      </w:r>
      <w:r w:rsidRPr="0084485D">
        <w:rPr>
          <w:i/>
        </w:rPr>
        <w:t>It is good practice to</w:t>
      </w:r>
      <w:r w:rsidR="00DE4C0B" w:rsidRPr="0084485D">
        <w:rPr>
          <w:i/>
        </w:rPr>
        <w:t xml:space="preserve"> look at </w:t>
      </w:r>
      <w:r w:rsidR="001D085C" w:rsidRPr="0084485D">
        <w:rPr>
          <w:i/>
        </w:rPr>
        <w:t>y</w:t>
      </w:r>
      <w:r w:rsidR="00DE4C0B" w:rsidRPr="0084485D">
        <w:rPr>
          <w:i/>
        </w:rPr>
        <w:t xml:space="preserve">our diagnostic plots to check for the validity of </w:t>
      </w:r>
      <w:r w:rsidR="001D085C" w:rsidRPr="0084485D">
        <w:rPr>
          <w:i/>
        </w:rPr>
        <w:t>y</w:t>
      </w:r>
      <w:r w:rsidR="00DE4C0B" w:rsidRPr="0084485D">
        <w:rPr>
          <w:i/>
        </w:rPr>
        <w:t xml:space="preserve">our ANOVA assumptions. </w:t>
      </w:r>
      <w:r w:rsidRPr="0084485D">
        <w:rPr>
          <w:i/>
        </w:rPr>
        <w:t>The rest of the output is dedicated to verifying those statistical as</w:t>
      </w:r>
      <w:r w:rsidR="00876277" w:rsidRPr="0084485D">
        <w:rPr>
          <w:i/>
        </w:rPr>
        <w:t>sumptions for inference tests</w:t>
      </w:r>
      <w:r w:rsidR="00B65806" w:rsidRPr="0084485D">
        <w:rPr>
          <w:i/>
        </w:rPr>
        <w:t>.</w:t>
      </w:r>
    </w:p>
    <w:p w:rsidR="00007CF5" w:rsidRDefault="00F51EDC" w:rsidP="00F51EDC">
      <w:pPr>
        <w:jc w:val="center"/>
      </w:pPr>
      <w:bookmarkStart w:id="58" w:name="bsts21a"/>
      <w:r>
        <w:rPr>
          <w:noProof/>
        </w:rPr>
        <w:drawing>
          <wp:inline distT="0" distB="0" distL="0" distR="0">
            <wp:extent cx="5943600" cy="5876925"/>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943600" cy="5876925"/>
                    </a:xfrm>
                    <a:prstGeom prst="rect">
                      <a:avLst/>
                    </a:prstGeom>
                    <a:noFill/>
                    <a:ln w="9525">
                      <a:noFill/>
                      <a:miter lim="800000"/>
                      <a:headEnd/>
                      <a:tailEnd/>
                    </a:ln>
                  </pic:spPr>
                </pic:pic>
              </a:graphicData>
            </a:graphic>
          </wp:inline>
        </w:drawing>
      </w:r>
    </w:p>
    <w:p w:rsidR="00B65806" w:rsidRDefault="00007CF5">
      <w:pPr>
        <w:keepLines/>
      </w:pPr>
      <w:r>
        <w:t xml:space="preserve">The graph above is a </w:t>
      </w:r>
      <w:r w:rsidR="00B65806">
        <w:t xml:space="preserve">mosaic of plots having to do with residuals </w:t>
      </w:r>
      <w:r>
        <w:t xml:space="preserve">from the ANOVA model. </w:t>
      </w:r>
      <w:r w:rsidR="00B65806">
        <w:t>You will focus on the left three in this analysis.</w:t>
      </w:r>
    </w:p>
    <w:p w:rsidR="00007CF5" w:rsidRDefault="00B65806">
      <w:pPr>
        <w:keepLines/>
      </w:pPr>
      <w:r>
        <w:t xml:space="preserve">The plot at the </w:t>
      </w:r>
      <w:r w:rsidR="00CD78B6">
        <w:t>upper</w:t>
      </w:r>
      <w:r>
        <w:t xml:space="preserve"> left is a Residual by Predicted plot.</w:t>
      </w:r>
      <w:r w:rsidR="00CD78B6">
        <w:t xml:space="preserve"> </w:t>
      </w:r>
      <w:r w:rsidR="00007CF5">
        <w:t xml:space="preserve">Essentially, you are looking for a random scatter within each group. Any patterns or trends in this plot can indicate model assumption violations. </w:t>
      </w:r>
    </w:p>
    <w:p w:rsidR="006E3EE8" w:rsidRPr="00B65806" w:rsidRDefault="006E3EE8" w:rsidP="00B65806">
      <w:pPr>
        <w:keepLines/>
      </w:pPr>
      <w:r>
        <w:t xml:space="preserve">To check the normality assumption, </w:t>
      </w:r>
      <w:r w:rsidR="00B65806">
        <w:t>look at the Quantile-Quantile p</w:t>
      </w:r>
      <w:r w:rsidR="00CD78B6">
        <w:t xml:space="preserve">lot at center left. </w:t>
      </w:r>
      <w:r w:rsidR="00B65806">
        <w:t xml:space="preserve">There appears to be no severe departure from normality </w:t>
      </w:r>
      <w:r w:rsidR="000B65A5">
        <w:t>because the observations all li</w:t>
      </w:r>
      <w:r w:rsidR="00B65806">
        <w:t xml:space="preserve">e close to the diagonal reference line. This conclusion is not contradicted by the residual histogram at </w:t>
      </w:r>
      <w:r w:rsidR="00CD78B6">
        <w:t>the lower</w:t>
      </w:r>
      <w:r w:rsidR="00B65806">
        <w:t xml:space="preserve"> left.</w:t>
      </w:r>
    </w:p>
    <w:p w:rsidR="00DE4C0B" w:rsidRDefault="00DE4C0B" w:rsidP="00DE4C0B"/>
    <w:p w:rsidR="0070220F" w:rsidRDefault="00B75C00" w:rsidP="00D92D8B">
      <w:pPr>
        <w:pStyle w:val="PowerPointslide"/>
        <w:widowControl/>
      </w:pPr>
      <w:bookmarkStart w:id="59" w:name="Slide_301"/>
      <w:r w:rsidRPr="00D92D8B">
        <w:rPr>
          <w:noProof/>
        </w:rPr>
        <w:drawing>
          <wp:inline distT="0" distB="0" distL="0" distR="0">
            <wp:extent cx="4117340" cy="3086735"/>
            <wp:effectExtent l="19050" t="19050" r="1651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17340" cy="3086735"/>
                    </a:xfrm>
                    <a:prstGeom prst="rect">
                      <a:avLst/>
                    </a:prstGeom>
                    <a:noFill/>
                    <a:ln w="6350" cmpd="sng">
                      <a:solidFill>
                        <a:srgbClr val="000000"/>
                      </a:solidFill>
                      <a:miter lim="800000"/>
                      <a:headEnd/>
                      <a:tailEnd/>
                    </a:ln>
                    <a:effectLst/>
                  </pic:spPr>
                </pic:pic>
              </a:graphicData>
            </a:graphic>
          </wp:inline>
        </w:drawing>
      </w:r>
      <w:bookmarkEnd w:id="59"/>
    </w:p>
    <w:p w:rsidR="0070220F" w:rsidRDefault="0084485D" w:rsidP="0070220F">
      <w:pPr>
        <w:pStyle w:val="HeadingExercise"/>
        <w:pageBreakBefore/>
      </w:pPr>
      <w:bookmarkStart w:id="60" w:name="_Toc206844432"/>
      <w:bookmarkStart w:id="61" w:name="_Toc231881952"/>
      <w:bookmarkStart w:id="62" w:name="_Toc231963349"/>
      <w:bookmarkStart w:id="63" w:name="_Toc232846767"/>
      <w:bookmarkStart w:id="64" w:name="_Toc234227407"/>
      <w:bookmarkStart w:id="65" w:name="_Toc255203975"/>
      <w:bookmarkStart w:id="66" w:name="_Toc255207807"/>
      <w:bookmarkStart w:id="67" w:name="_Toc255549495"/>
      <w:bookmarkStart w:id="68" w:name="_Toc255810473"/>
      <w:bookmarkStart w:id="69" w:name="_Toc255894723"/>
      <w:r>
        <w:t xml:space="preserve">Another </w:t>
      </w:r>
      <w:r w:rsidR="0070220F">
        <w:t>Exercise</w:t>
      </w:r>
      <w:bookmarkEnd w:id="60"/>
      <w:bookmarkEnd w:id="61"/>
      <w:bookmarkEnd w:id="62"/>
      <w:bookmarkEnd w:id="63"/>
      <w:bookmarkEnd w:id="64"/>
      <w:bookmarkEnd w:id="65"/>
      <w:bookmarkEnd w:id="66"/>
      <w:bookmarkEnd w:id="67"/>
      <w:bookmarkEnd w:id="68"/>
      <w:bookmarkEnd w:id="69"/>
    </w:p>
    <w:p w:rsidR="0070220F" w:rsidRDefault="0070220F" w:rsidP="0070220F"/>
    <w:p w:rsidR="005B773E" w:rsidRPr="00CE71FA" w:rsidRDefault="005B773E" w:rsidP="0090314E">
      <w:pPr>
        <w:pStyle w:val="NumberingExercise"/>
        <w:numPr>
          <w:ilvl w:val="0"/>
          <w:numId w:val="9"/>
        </w:numPr>
        <w:rPr>
          <w:b/>
        </w:rPr>
      </w:pPr>
      <w:r w:rsidRPr="00CE71FA">
        <w:rPr>
          <w:b/>
        </w:rPr>
        <w:t>Analyzing Data in a Completely Randomized Design</w:t>
      </w:r>
    </w:p>
    <w:p w:rsidR="0084485D" w:rsidRDefault="005B773E" w:rsidP="00BC3596">
      <w:pPr>
        <w:ind w:left="360"/>
        <w:rPr>
          <w:bCs/>
        </w:rPr>
      </w:pPr>
      <w:r>
        <w:rPr>
          <w:bCs/>
        </w:rPr>
        <w:t>Consider an experiment to study four types of advertising: local newspaper ads, local radio ads, in</w:t>
      </w:r>
      <w:r>
        <w:rPr>
          <w:bCs/>
        </w:rPr>
        <w:noBreakHyphen/>
        <w:t>store salespeople, and in</w:t>
      </w:r>
      <w:r>
        <w:rPr>
          <w:bCs/>
        </w:rPr>
        <w:noBreakHyphen/>
        <w:t xml:space="preserve">store displays. The country is divided into 144 locations, and 36 locations are randomly assigned to each type of advertising. The level of sales is measured for each region in thousands of dollars. You want to see whether the average sales are significantly different for various types of advertising. </w:t>
      </w:r>
    </w:p>
    <w:p w:rsidR="005B773E" w:rsidRDefault="005B773E" w:rsidP="00BC3596">
      <w:pPr>
        <w:ind w:left="360"/>
        <w:rPr>
          <w:bCs/>
        </w:rPr>
      </w:pPr>
      <w:r>
        <w:rPr>
          <w:bCs/>
        </w:rPr>
        <w:t xml:space="preserve">The </w:t>
      </w:r>
      <w:r w:rsidR="00B326F4" w:rsidRPr="0084485D">
        <w:rPr>
          <w:rFonts w:ascii="Courier New" w:hAnsi="Courier New"/>
          <w:b/>
          <w:kern w:val="0"/>
          <w:highlight w:val="yellow"/>
        </w:rPr>
        <w:t>ads</w:t>
      </w:r>
      <w:r w:rsidR="00B326F4">
        <w:rPr>
          <w:bCs/>
        </w:rPr>
        <w:t xml:space="preserve"> </w:t>
      </w:r>
      <w:r>
        <w:rPr>
          <w:bCs/>
        </w:rPr>
        <w:t>data set contains data for these variables:</w:t>
      </w:r>
    </w:p>
    <w:p w:rsidR="005B773E" w:rsidRDefault="0001431B" w:rsidP="009108BA">
      <w:pPr>
        <w:tabs>
          <w:tab w:val="left" w:pos="1440"/>
        </w:tabs>
        <w:ind w:left="360"/>
        <w:rPr>
          <w:bCs/>
        </w:rPr>
      </w:pPr>
      <w:r w:rsidRPr="00D430C1">
        <w:rPr>
          <w:rFonts w:ascii="Courier New" w:hAnsi="Courier New" w:cs="Courier New"/>
          <w:b/>
          <w:kern w:val="0"/>
        </w:rPr>
        <w:t>A</w:t>
      </w:r>
      <w:r w:rsidR="005B773E" w:rsidRPr="00D430C1">
        <w:rPr>
          <w:rFonts w:ascii="Courier New" w:hAnsi="Courier New" w:cs="Courier New"/>
          <w:b/>
          <w:kern w:val="0"/>
        </w:rPr>
        <w:t>d</w:t>
      </w:r>
      <w:r w:rsidR="00D430C1">
        <w:rPr>
          <w:bCs/>
        </w:rPr>
        <w:tab/>
      </w:r>
      <w:r w:rsidR="005B773E">
        <w:rPr>
          <w:bCs/>
        </w:rPr>
        <w:t>type of advertising</w:t>
      </w:r>
    </w:p>
    <w:p w:rsidR="005B773E" w:rsidRDefault="0001431B" w:rsidP="00BC3596">
      <w:pPr>
        <w:ind w:left="360"/>
        <w:rPr>
          <w:bCs/>
        </w:rPr>
      </w:pPr>
      <w:r>
        <w:rPr>
          <w:rFonts w:ascii="Courier New" w:hAnsi="Courier New"/>
          <w:b/>
          <w:kern w:val="0"/>
        </w:rPr>
        <w:t>S</w:t>
      </w:r>
      <w:r w:rsidR="005B773E">
        <w:rPr>
          <w:rFonts w:ascii="Courier New" w:hAnsi="Courier New"/>
          <w:b/>
          <w:kern w:val="0"/>
        </w:rPr>
        <w:t>ales</w:t>
      </w:r>
      <w:r w:rsidR="005B773E">
        <w:rPr>
          <w:bCs/>
        </w:rPr>
        <w:tab/>
        <w:t>level of sales in thousands of dollars</w:t>
      </w:r>
    </w:p>
    <w:p w:rsidR="005B773E" w:rsidRDefault="005B773E" w:rsidP="0090314E">
      <w:pPr>
        <w:pStyle w:val="NumberingExercise"/>
        <w:numPr>
          <w:ilvl w:val="1"/>
          <w:numId w:val="9"/>
        </w:numPr>
      </w:pPr>
      <w:r>
        <w:t>Examine the data using the</w:t>
      </w:r>
      <w:r w:rsidR="00A23845">
        <w:t xml:space="preserve"> Summary Statistics task</w:t>
      </w:r>
      <w:r>
        <w:t>. What information can you obtain from looking at the data?</w:t>
      </w:r>
    </w:p>
    <w:p w:rsidR="005B773E" w:rsidRDefault="005B773E" w:rsidP="0090314E">
      <w:pPr>
        <w:pStyle w:val="NumberingExercise"/>
        <w:numPr>
          <w:ilvl w:val="1"/>
          <w:numId w:val="9"/>
        </w:numPr>
      </w:pPr>
      <w:r>
        <w:t>Test the hypothesis that the means are equal. Be sure to check that the assumptions of the analysis method you choose are met. What conclusions can you reach at this point in your analysis?</w:t>
      </w:r>
    </w:p>
    <w:bookmarkEnd w:id="58"/>
    <w:p w:rsidR="006A6668" w:rsidRPr="006A6668" w:rsidRDefault="006A6668" w:rsidP="006A6668"/>
    <w:sectPr w:rsidR="006A6668" w:rsidRPr="006A6668" w:rsidSect="00F609F5">
      <w:headerReference w:type="even" r:id="rId53"/>
      <w:headerReference w:type="default" r:id="rId54"/>
      <w:headerReference w:type="first" r:id="rId55"/>
      <w:pgSz w:w="12240" w:h="15840"/>
      <w:pgMar w:top="1440" w:right="1440" w:bottom="1440" w:left="720" w:header="720" w:footer="720" w:gutter="720"/>
      <w:pgNumType w:chapStyle="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99E" w:rsidRDefault="00A1399E">
      <w:r>
        <w:separator/>
      </w:r>
    </w:p>
  </w:endnote>
  <w:endnote w:type="continuationSeparator" w:id="0">
    <w:p w:rsidR="00A1399E" w:rsidRDefault="00A1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AS Monospace">
    <w:altName w:val="Consolas"/>
    <w:charset w:val="00"/>
    <w:family w:val="modern"/>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99E" w:rsidRDefault="00A1399E">
      <w:r>
        <w:separator/>
      </w:r>
    </w:p>
  </w:footnote>
  <w:footnote w:type="continuationSeparator" w:id="0">
    <w:p w:rsidR="00A1399E" w:rsidRDefault="00A139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63B" w:rsidRPr="00F21530" w:rsidRDefault="00FD1DD0" w:rsidP="00F21530">
    <w:pPr>
      <w:pStyle w:val="Header"/>
      <w:pBdr>
        <w:bottom w:val="single" w:sz="2" w:space="3" w:color="auto"/>
      </w:pBdr>
      <w:tabs>
        <w:tab w:val="left" w:pos="-1080"/>
      </w:tabs>
      <w:rPr>
        <w:b w:val="0"/>
      </w:rPr>
    </w:pPr>
    <w:r>
      <w:rPr>
        <w:rStyle w:val="PageNumber"/>
        <w:b w:val="0"/>
      </w:rPr>
      <w:fldChar w:fldCharType="begin"/>
    </w:r>
    <w:r w:rsidR="009B363B">
      <w:rPr>
        <w:rStyle w:val="PageNumber"/>
        <w:b w:val="0"/>
      </w:rPr>
      <w:instrText xml:space="preserve"> PAGE </w:instrText>
    </w:r>
    <w:r>
      <w:rPr>
        <w:rStyle w:val="PageNumber"/>
        <w:b w:val="0"/>
      </w:rPr>
      <w:fldChar w:fldCharType="separate"/>
    </w:r>
    <w:r w:rsidR="00D03463">
      <w:rPr>
        <w:rStyle w:val="PageNumber"/>
        <w:b w:val="0"/>
        <w:noProof/>
      </w:rPr>
      <w:t>12</w:t>
    </w:r>
    <w:r>
      <w:rPr>
        <w:rStyle w:val="PageNumber"/>
        <w:b w:val="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63B" w:rsidRPr="00F21530" w:rsidRDefault="009B363B" w:rsidP="00F21530">
    <w:pPr>
      <w:pStyle w:val="Header"/>
      <w:tabs>
        <w:tab w:val="right" w:pos="8640"/>
        <w:tab w:val="right" w:pos="9360"/>
      </w:tabs>
    </w:pPr>
    <w:r>
      <w:tab/>
    </w:r>
    <w:r w:rsidR="00DC3264">
      <w:tab/>
    </w:r>
    <w:r w:rsidR="00FD1DD0">
      <w:rPr>
        <w:rStyle w:val="PageNumber"/>
        <w:b w:val="0"/>
      </w:rPr>
      <w:fldChar w:fldCharType="begin"/>
    </w:r>
    <w:r>
      <w:rPr>
        <w:rStyle w:val="PageNumber"/>
        <w:b w:val="0"/>
      </w:rPr>
      <w:instrText xml:space="preserve"> PAGE </w:instrText>
    </w:r>
    <w:r w:rsidR="00FD1DD0">
      <w:rPr>
        <w:rStyle w:val="PageNumber"/>
        <w:b w:val="0"/>
      </w:rPr>
      <w:fldChar w:fldCharType="separate"/>
    </w:r>
    <w:r w:rsidR="00D03463">
      <w:rPr>
        <w:rStyle w:val="PageNumber"/>
        <w:b w:val="0"/>
        <w:noProof/>
      </w:rPr>
      <w:t>13</w:t>
    </w:r>
    <w:r w:rsidR="00FD1DD0">
      <w:rPr>
        <w:rStyle w:val="PageNumbe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63B" w:rsidRDefault="009B363B" w:rsidP="00353221">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96E13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A37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069B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142D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C0FA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417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B07C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6C0C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A4EC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72F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A3A95"/>
    <w:multiLevelType w:val="multilevel"/>
    <w:tmpl w:val="3F5AEAA6"/>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1" w15:restartNumberingAfterBreak="0">
    <w:nsid w:val="03B27EA9"/>
    <w:multiLevelType w:val="singleLevel"/>
    <w:tmpl w:val="04090001"/>
    <w:name w:val="PowerServSolution"/>
    <w:lvl w:ilvl="0">
      <w:start w:val="1"/>
      <w:numFmt w:val="bullet"/>
      <w:lvlText w:val=""/>
      <w:lvlJc w:val="left"/>
      <w:pPr>
        <w:ind w:left="720" w:hanging="360"/>
      </w:pPr>
      <w:rPr>
        <w:rFonts w:ascii="Symbol" w:hAnsi="Symbol" w:hint="default"/>
      </w:rPr>
    </w:lvl>
  </w:abstractNum>
  <w:abstractNum w:abstractNumId="12" w15:restartNumberingAfterBreak="0">
    <w:nsid w:val="0B2F4237"/>
    <w:multiLevelType w:val="multilevel"/>
    <w:tmpl w:val="FAD8D89A"/>
    <w:name w:val="PowerServSolution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bullet"/>
      <w:lvlText w:val=""/>
      <w:lvlJc w:val="left"/>
      <w:pPr>
        <w:ind w:left="720" w:hanging="360"/>
      </w:pPr>
      <w:rPr>
        <w:rFonts w:ascii="Symbol" w:hAnsi="Symbol" w:hint="default"/>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3" w15:restartNumberingAfterBreak="0">
    <w:nsid w:val="0BB5480B"/>
    <w:multiLevelType w:val="multilevel"/>
    <w:tmpl w:val="D450C262"/>
    <w:name w:val="DemoOutlineNumbering3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D3181B"/>
    <w:multiLevelType w:val="multilevel"/>
    <w:tmpl w:val="0C2AE54A"/>
    <w:lvl w:ilvl="0">
      <w:start w:val="1"/>
      <w:numFmt w:val="decimal"/>
      <w:lvlText w:val="%1."/>
      <w:lvlJc w:val="left"/>
      <w:pPr>
        <w:tabs>
          <w:tab w:val="num" w:pos="360"/>
        </w:tabs>
        <w:ind w:left="360" w:hanging="360"/>
      </w:pPr>
      <w:rPr>
        <w:b w:val="0"/>
        <w:i w:val="0"/>
      </w:rPr>
    </w:lvl>
    <w:lvl w:ilvl="1">
      <w:start w:val="1"/>
      <w:numFmt w:val="bullet"/>
      <w:lvlText w:val=""/>
      <w:lvlJc w:val="left"/>
      <w:pPr>
        <w:tabs>
          <w:tab w:val="num" w:pos="720"/>
        </w:tabs>
        <w:ind w:left="720" w:hanging="360"/>
      </w:pPr>
      <w:rPr>
        <w:rFonts w:ascii="Symbol" w:hAnsi="Symbol" w:hint="default"/>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437675"/>
    <w:multiLevelType w:val="multilevel"/>
    <w:tmpl w:val="D450C262"/>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D23134"/>
    <w:multiLevelType w:val="multilevel"/>
    <w:tmpl w:val="662C26F0"/>
    <w:lvl w:ilvl="0">
      <w:start w:val="2"/>
      <w:numFmt w:val="decimal"/>
      <w:pStyle w:val="Heading1"/>
      <w:lvlText w:val="Chapter %1"/>
      <w:lvlJc w:val="left"/>
      <w:pPr>
        <w:tabs>
          <w:tab w:val="num" w:pos="1800"/>
        </w:tabs>
        <w:ind w:left="0" w:firstLine="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1BCC0BFE"/>
    <w:multiLevelType w:val="multilevel"/>
    <w:tmpl w:val="D450C262"/>
    <w:name w:val="DemoOutlineNumbering3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C786986"/>
    <w:multiLevelType w:val="hybridMultilevel"/>
    <w:tmpl w:val="C020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302D3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5B80EEA"/>
    <w:multiLevelType w:val="hybridMultilevel"/>
    <w:tmpl w:val="B170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078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29050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4181F87"/>
    <w:multiLevelType w:val="multilevel"/>
    <w:tmpl w:val="D450C262"/>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27" w15:restartNumberingAfterBreak="0">
    <w:nsid w:val="4D9D4E60"/>
    <w:multiLevelType w:val="multilevel"/>
    <w:tmpl w:val="3F5AEAA6"/>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8" w15:restartNumberingAfterBreak="0">
    <w:nsid w:val="540211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5637BF2"/>
    <w:multiLevelType w:val="multilevel"/>
    <w:tmpl w:val="D450C262"/>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F0B73C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1A832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1F07B8C"/>
    <w:multiLevelType w:val="hybridMultilevel"/>
    <w:tmpl w:val="10A6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35" w15:restartNumberingAfterBreak="0">
    <w:nsid w:val="65582A92"/>
    <w:multiLevelType w:val="multilevel"/>
    <w:tmpl w:val="0D3AEFCA"/>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6" w15:restartNumberingAfterBreak="0">
    <w:nsid w:val="689313E8"/>
    <w:multiLevelType w:val="multilevel"/>
    <w:tmpl w:val="D450C262"/>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91F19DB"/>
    <w:multiLevelType w:val="multilevel"/>
    <w:tmpl w:val="7DFA7D8C"/>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8" w15:restartNumberingAfterBreak="0">
    <w:nsid w:val="6B6D15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BC40113"/>
    <w:multiLevelType w:val="hybridMultilevel"/>
    <w:tmpl w:val="C5140B7A"/>
    <w:lvl w:ilvl="0" w:tplc="F918C172">
      <w:numFmt w:val="bullet"/>
      <w:lvlText w:val="!"/>
      <w:lvlJc w:val="left"/>
      <w:pPr>
        <w:tabs>
          <w:tab w:val="num" w:pos="720"/>
        </w:tabs>
        <w:ind w:left="720" w:hanging="720"/>
      </w:pPr>
      <w:rPr>
        <w:rFonts w:ascii="Wingdings" w:eastAsia="Times New Roman" w:hAnsi="Wingdings" w:cs="Times New Roman" w:hint="default"/>
        <w:b/>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6E626EDC"/>
    <w:multiLevelType w:val="multilevel"/>
    <w:tmpl w:val="D450C262"/>
    <w:name w:val="DemoOutlineNumbering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01A598E"/>
    <w:multiLevelType w:val="multilevel"/>
    <w:tmpl w:val="91A8683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2" w15:restartNumberingAfterBreak="0">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43" w15:restartNumberingAfterBreak="0">
    <w:nsid w:val="75FD33B8"/>
    <w:multiLevelType w:val="multilevel"/>
    <w:tmpl w:val="D450C262"/>
    <w:name w:val="DemoOutlineNumbering322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62F4880"/>
    <w:multiLevelType w:val="hybridMultilevel"/>
    <w:tmpl w:val="4A4A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00133B"/>
    <w:multiLevelType w:val="multilevel"/>
    <w:tmpl w:val="0D3AEFCA"/>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6" w15:restartNumberingAfterBreak="0">
    <w:nsid w:val="7B2F000C"/>
    <w:multiLevelType w:val="singleLevel"/>
    <w:tmpl w:val="F514977A"/>
    <w:lvl w:ilvl="0">
      <w:start w:val="4"/>
      <w:numFmt w:val="bullet"/>
      <w:lvlText w:val=""/>
      <w:lvlJc w:val="left"/>
      <w:pPr>
        <w:tabs>
          <w:tab w:val="num" w:pos="792"/>
        </w:tabs>
        <w:ind w:left="792" w:hanging="792"/>
      </w:pPr>
      <w:rPr>
        <w:rFonts w:ascii="Wingdings" w:hAnsi="Wingdings" w:hint="default"/>
        <w:b/>
        <w:sz w:val="28"/>
      </w:rPr>
    </w:lvl>
  </w:abstractNum>
  <w:abstractNum w:abstractNumId="47" w15:restartNumberingAfterBreak="0">
    <w:nsid w:val="7E7E0239"/>
    <w:multiLevelType w:val="multilevel"/>
    <w:tmpl w:val="D450C262"/>
    <w:name w:val="DemoOutlineNumbering3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4"/>
  </w:num>
  <w:num w:numId="2">
    <w:abstractNumId w:val="16"/>
  </w:num>
  <w:num w:numId="3">
    <w:abstractNumId w:val="21"/>
  </w:num>
  <w:num w:numId="4">
    <w:abstractNumId w:val="17"/>
  </w:num>
  <w:num w:numId="5">
    <w:abstractNumId w:val="30"/>
  </w:num>
  <w:num w:numId="6">
    <w:abstractNumId w:val="34"/>
  </w:num>
  <w:num w:numId="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45"/>
  </w:num>
  <w:num w:numId="10">
    <w:abstractNumId w:val="15"/>
  </w:num>
  <w:num w:numId="11">
    <w:abstractNumId w:val="10"/>
  </w:num>
  <w:num w:numId="12">
    <w:abstractNumId w:val="44"/>
  </w:num>
  <w:num w:numId="13">
    <w:abstractNumId w:val="22"/>
  </w:num>
  <w:num w:numId="14">
    <w:abstractNumId w:val="19"/>
  </w:num>
  <w:num w:numId="15">
    <w:abstractNumId w:val="14"/>
  </w:num>
  <w:num w:numId="16">
    <w:abstractNumId w:val="33"/>
  </w:num>
  <w:num w:numId="17">
    <w:abstractNumId w:val="36"/>
  </w:num>
  <w:num w:numId="18">
    <w:abstractNumId w:val="25"/>
  </w:num>
  <w:num w:numId="19">
    <w:abstractNumId w:val="40"/>
  </w:num>
  <w:num w:numId="20">
    <w:abstractNumId w:val="18"/>
  </w:num>
  <w:num w:numId="21">
    <w:abstractNumId w:val="47"/>
  </w:num>
  <w:num w:numId="22">
    <w:abstractNumId w:val="13"/>
  </w:num>
  <w:num w:numId="23">
    <w:abstractNumId w:val="43"/>
  </w:num>
  <w:num w:numId="24">
    <w:abstractNumId w:val="42"/>
  </w:num>
  <w:num w:numId="25">
    <w:abstractNumId w:val="46"/>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8"/>
  </w:num>
  <w:num w:numId="37">
    <w:abstractNumId w:val="20"/>
  </w:num>
  <w:num w:numId="38">
    <w:abstractNumId w:val="38"/>
  </w:num>
  <w:num w:numId="39">
    <w:abstractNumId w:val="24"/>
  </w:num>
  <w:num w:numId="40">
    <w:abstractNumId w:val="32"/>
  </w:num>
  <w:num w:numId="41">
    <w:abstractNumId w:val="23"/>
  </w:num>
  <w:num w:numId="42">
    <w:abstractNumId w:val="31"/>
  </w:num>
  <w:num w:numId="43">
    <w:abstractNumId w:val="41"/>
  </w:num>
  <w:num w:numId="44">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2"/>
    <w:docVar w:name="ChapterTitle" w:val="Analysis of Variance (ANOVA)"/>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lideBorder" w:val="Border"/>
    <w:docVar w:name="SlideJustification" w:val="0"/>
    <w:docVar w:name="SlideNewPage" w:val="0"/>
    <w:docVar w:name="SlideSize" w:val="90"/>
    <w:docVar w:name="UpdatePowerServLinks" w:val="0"/>
    <w:docVar w:name="Word Addin Standard" w:val="PSERVDocAddin.dot"/>
  </w:docVars>
  <w:rsids>
    <w:rsidRoot w:val="00C02FEA"/>
    <w:rsid w:val="000017B2"/>
    <w:rsid w:val="00001F83"/>
    <w:rsid w:val="00004430"/>
    <w:rsid w:val="000062F1"/>
    <w:rsid w:val="00007CF5"/>
    <w:rsid w:val="00011A60"/>
    <w:rsid w:val="000132AA"/>
    <w:rsid w:val="0001431B"/>
    <w:rsid w:val="00017F7E"/>
    <w:rsid w:val="00021586"/>
    <w:rsid w:val="00021E97"/>
    <w:rsid w:val="00022872"/>
    <w:rsid w:val="00023306"/>
    <w:rsid w:val="000236C7"/>
    <w:rsid w:val="00026479"/>
    <w:rsid w:val="000308C4"/>
    <w:rsid w:val="000310E0"/>
    <w:rsid w:val="00033677"/>
    <w:rsid w:val="0003507F"/>
    <w:rsid w:val="0003514F"/>
    <w:rsid w:val="000371DF"/>
    <w:rsid w:val="00037BDD"/>
    <w:rsid w:val="00040D03"/>
    <w:rsid w:val="00041F24"/>
    <w:rsid w:val="00047812"/>
    <w:rsid w:val="0005012E"/>
    <w:rsid w:val="0005038C"/>
    <w:rsid w:val="000510FB"/>
    <w:rsid w:val="00054220"/>
    <w:rsid w:val="00056E9C"/>
    <w:rsid w:val="00057C16"/>
    <w:rsid w:val="00061469"/>
    <w:rsid w:val="00062570"/>
    <w:rsid w:val="00062A13"/>
    <w:rsid w:val="000635EE"/>
    <w:rsid w:val="000711A1"/>
    <w:rsid w:val="00072019"/>
    <w:rsid w:val="000803A7"/>
    <w:rsid w:val="00081740"/>
    <w:rsid w:val="000825EB"/>
    <w:rsid w:val="000870BD"/>
    <w:rsid w:val="000918EB"/>
    <w:rsid w:val="0009756E"/>
    <w:rsid w:val="000A2DF4"/>
    <w:rsid w:val="000A3F84"/>
    <w:rsid w:val="000A58B5"/>
    <w:rsid w:val="000A692C"/>
    <w:rsid w:val="000B1BD8"/>
    <w:rsid w:val="000B1C92"/>
    <w:rsid w:val="000B65A5"/>
    <w:rsid w:val="000B692A"/>
    <w:rsid w:val="000B74CF"/>
    <w:rsid w:val="000C0D95"/>
    <w:rsid w:val="000C10E8"/>
    <w:rsid w:val="000C3081"/>
    <w:rsid w:val="000C44F0"/>
    <w:rsid w:val="000C6239"/>
    <w:rsid w:val="000D06AE"/>
    <w:rsid w:val="000D0CE1"/>
    <w:rsid w:val="000D38CD"/>
    <w:rsid w:val="000D4964"/>
    <w:rsid w:val="000D711B"/>
    <w:rsid w:val="000E0805"/>
    <w:rsid w:val="000E3B4A"/>
    <w:rsid w:val="000E541E"/>
    <w:rsid w:val="000E73FC"/>
    <w:rsid w:val="000F00C5"/>
    <w:rsid w:val="000F02C1"/>
    <w:rsid w:val="000F2AC0"/>
    <w:rsid w:val="000F2B99"/>
    <w:rsid w:val="000F2F12"/>
    <w:rsid w:val="000F4006"/>
    <w:rsid w:val="000F6BB4"/>
    <w:rsid w:val="000F76B9"/>
    <w:rsid w:val="00100766"/>
    <w:rsid w:val="00104BEC"/>
    <w:rsid w:val="0010643D"/>
    <w:rsid w:val="00106445"/>
    <w:rsid w:val="00106AF5"/>
    <w:rsid w:val="00110ACA"/>
    <w:rsid w:val="0011227F"/>
    <w:rsid w:val="00112B1A"/>
    <w:rsid w:val="00113299"/>
    <w:rsid w:val="00115673"/>
    <w:rsid w:val="0011617E"/>
    <w:rsid w:val="00117FFC"/>
    <w:rsid w:val="001261AE"/>
    <w:rsid w:val="00126F4C"/>
    <w:rsid w:val="00126FEC"/>
    <w:rsid w:val="0012736C"/>
    <w:rsid w:val="00130E46"/>
    <w:rsid w:val="00133524"/>
    <w:rsid w:val="0014085C"/>
    <w:rsid w:val="001448B7"/>
    <w:rsid w:val="00146223"/>
    <w:rsid w:val="001502FC"/>
    <w:rsid w:val="00150F00"/>
    <w:rsid w:val="00151113"/>
    <w:rsid w:val="0015452E"/>
    <w:rsid w:val="00155117"/>
    <w:rsid w:val="0015521B"/>
    <w:rsid w:val="00161ABC"/>
    <w:rsid w:val="001724E6"/>
    <w:rsid w:val="00173524"/>
    <w:rsid w:val="00174950"/>
    <w:rsid w:val="001759F3"/>
    <w:rsid w:val="00177A79"/>
    <w:rsid w:val="001815E0"/>
    <w:rsid w:val="00182353"/>
    <w:rsid w:val="001900D1"/>
    <w:rsid w:val="00191C80"/>
    <w:rsid w:val="00193D85"/>
    <w:rsid w:val="001A00B5"/>
    <w:rsid w:val="001A34DC"/>
    <w:rsid w:val="001A5389"/>
    <w:rsid w:val="001B2DE9"/>
    <w:rsid w:val="001B3B69"/>
    <w:rsid w:val="001B653D"/>
    <w:rsid w:val="001C0C73"/>
    <w:rsid w:val="001C60C9"/>
    <w:rsid w:val="001D05F8"/>
    <w:rsid w:val="001D085C"/>
    <w:rsid w:val="001D18E3"/>
    <w:rsid w:val="001D5A4E"/>
    <w:rsid w:val="001D7B32"/>
    <w:rsid w:val="001E02C6"/>
    <w:rsid w:val="001E03F2"/>
    <w:rsid w:val="001E1A14"/>
    <w:rsid w:val="001E4BCD"/>
    <w:rsid w:val="001E52CD"/>
    <w:rsid w:val="001E6431"/>
    <w:rsid w:val="001F2C1E"/>
    <w:rsid w:val="001F34BE"/>
    <w:rsid w:val="001F4830"/>
    <w:rsid w:val="001F6EA9"/>
    <w:rsid w:val="002001DC"/>
    <w:rsid w:val="00201C11"/>
    <w:rsid w:val="00203BDB"/>
    <w:rsid w:val="002057B3"/>
    <w:rsid w:val="002069CE"/>
    <w:rsid w:val="00206D7C"/>
    <w:rsid w:val="00212450"/>
    <w:rsid w:val="0021300F"/>
    <w:rsid w:val="0021499B"/>
    <w:rsid w:val="00214D18"/>
    <w:rsid w:val="0021688B"/>
    <w:rsid w:val="00220E22"/>
    <w:rsid w:val="002249BE"/>
    <w:rsid w:val="00224C84"/>
    <w:rsid w:val="00224F55"/>
    <w:rsid w:val="002255AC"/>
    <w:rsid w:val="00225B70"/>
    <w:rsid w:val="00227E10"/>
    <w:rsid w:val="0023022E"/>
    <w:rsid w:val="0023252D"/>
    <w:rsid w:val="00233CB9"/>
    <w:rsid w:val="00235CC9"/>
    <w:rsid w:val="002374D4"/>
    <w:rsid w:val="00242992"/>
    <w:rsid w:val="00244922"/>
    <w:rsid w:val="00253B19"/>
    <w:rsid w:val="0025591D"/>
    <w:rsid w:val="00262398"/>
    <w:rsid w:val="002645F1"/>
    <w:rsid w:val="00266F9D"/>
    <w:rsid w:val="00267508"/>
    <w:rsid w:val="00267803"/>
    <w:rsid w:val="0027305F"/>
    <w:rsid w:val="002739A2"/>
    <w:rsid w:val="0027489D"/>
    <w:rsid w:val="002756A9"/>
    <w:rsid w:val="00275C04"/>
    <w:rsid w:val="00276005"/>
    <w:rsid w:val="002840C4"/>
    <w:rsid w:val="00284C29"/>
    <w:rsid w:val="00284C93"/>
    <w:rsid w:val="0028595E"/>
    <w:rsid w:val="00291045"/>
    <w:rsid w:val="002933ED"/>
    <w:rsid w:val="002935EB"/>
    <w:rsid w:val="002A340D"/>
    <w:rsid w:val="002A45BF"/>
    <w:rsid w:val="002A624E"/>
    <w:rsid w:val="002A6C85"/>
    <w:rsid w:val="002A79F6"/>
    <w:rsid w:val="002B01C3"/>
    <w:rsid w:val="002B3B07"/>
    <w:rsid w:val="002B3D2A"/>
    <w:rsid w:val="002B44B0"/>
    <w:rsid w:val="002B45E2"/>
    <w:rsid w:val="002C0C67"/>
    <w:rsid w:val="002C1C03"/>
    <w:rsid w:val="002C4207"/>
    <w:rsid w:val="002C598D"/>
    <w:rsid w:val="002C6AA4"/>
    <w:rsid w:val="002C73E9"/>
    <w:rsid w:val="002D02A0"/>
    <w:rsid w:val="002D20FC"/>
    <w:rsid w:val="002D3AC0"/>
    <w:rsid w:val="002D6F40"/>
    <w:rsid w:val="002E6A05"/>
    <w:rsid w:val="002F44CD"/>
    <w:rsid w:val="002F585E"/>
    <w:rsid w:val="002F5C6C"/>
    <w:rsid w:val="002F627A"/>
    <w:rsid w:val="002F7436"/>
    <w:rsid w:val="003018DC"/>
    <w:rsid w:val="00303483"/>
    <w:rsid w:val="00303E56"/>
    <w:rsid w:val="00304DC1"/>
    <w:rsid w:val="0030561F"/>
    <w:rsid w:val="00306B5E"/>
    <w:rsid w:val="00307C00"/>
    <w:rsid w:val="00307DB0"/>
    <w:rsid w:val="00312A92"/>
    <w:rsid w:val="00312B0B"/>
    <w:rsid w:val="00313FC4"/>
    <w:rsid w:val="00315B2B"/>
    <w:rsid w:val="0031766B"/>
    <w:rsid w:val="00322071"/>
    <w:rsid w:val="00325F3B"/>
    <w:rsid w:val="0032644C"/>
    <w:rsid w:val="00326871"/>
    <w:rsid w:val="003309B8"/>
    <w:rsid w:val="00331EE9"/>
    <w:rsid w:val="00334709"/>
    <w:rsid w:val="00340338"/>
    <w:rsid w:val="003464FE"/>
    <w:rsid w:val="003500F0"/>
    <w:rsid w:val="00353221"/>
    <w:rsid w:val="00354738"/>
    <w:rsid w:val="00363E79"/>
    <w:rsid w:val="00365822"/>
    <w:rsid w:val="0036701B"/>
    <w:rsid w:val="0037069C"/>
    <w:rsid w:val="00371835"/>
    <w:rsid w:val="0037236D"/>
    <w:rsid w:val="00372BEF"/>
    <w:rsid w:val="00374CE0"/>
    <w:rsid w:val="003759EE"/>
    <w:rsid w:val="00380733"/>
    <w:rsid w:val="00383A00"/>
    <w:rsid w:val="00385A48"/>
    <w:rsid w:val="00392B9C"/>
    <w:rsid w:val="003946F0"/>
    <w:rsid w:val="00394AF2"/>
    <w:rsid w:val="003970F6"/>
    <w:rsid w:val="003A32E2"/>
    <w:rsid w:val="003A4121"/>
    <w:rsid w:val="003A632B"/>
    <w:rsid w:val="003A72FE"/>
    <w:rsid w:val="003B00BA"/>
    <w:rsid w:val="003B02E8"/>
    <w:rsid w:val="003B5438"/>
    <w:rsid w:val="003B6376"/>
    <w:rsid w:val="003B6960"/>
    <w:rsid w:val="003B6E8D"/>
    <w:rsid w:val="003C024B"/>
    <w:rsid w:val="003C1A1A"/>
    <w:rsid w:val="003C3F3F"/>
    <w:rsid w:val="003C6AA9"/>
    <w:rsid w:val="003C6F10"/>
    <w:rsid w:val="003D0597"/>
    <w:rsid w:val="003D1217"/>
    <w:rsid w:val="003D3BBA"/>
    <w:rsid w:val="003D3C41"/>
    <w:rsid w:val="003E09D3"/>
    <w:rsid w:val="003E0B64"/>
    <w:rsid w:val="003E0FEB"/>
    <w:rsid w:val="003E1040"/>
    <w:rsid w:val="003E25AA"/>
    <w:rsid w:val="003E3E84"/>
    <w:rsid w:val="003E56BE"/>
    <w:rsid w:val="003E5A25"/>
    <w:rsid w:val="003E6228"/>
    <w:rsid w:val="003F1124"/>
    <w:rsid w:val="003F1665"/>
    <w:rsid w:val="003F26EF"/>
    <w:rsid w:val="003F382B"/>
    <w:rsid w:val="003F38BC"/>
    <w:rsid w:val="00400087"/>
    <w:rsid w:val="004020D7"/>
    <w:rsid w:val="00402CFB"/>
    <w:rsid w:val="004032CA"/>
    <w:rsid w:val="00404B83"/>
    <w:rsid w:val="0040639F"/>
    <w:rsid w:val="00415733"/>
    <w:rsid w:val="0041756A"/>
    <w:rsid w:val="00421455"/>
    <w:rsid w:val="004236C5"/>
    <w:rsid w:val="00423F22"/>
    <w:rsid w:val="0042438F"/>
    <w:rsid w:val="00427A28"/>
    <w:rsid w:val="004340CF"/>
    <w:rsid w:val="00434DF4"/>
    <w:rsid w:val="004378DA"/>
    <w:rsid w:val="0045147F"/>
    <w:rsid w:val="004522C7"/>
    <w:rsid w:val="004532D6"/>
    <w:rsid w:val="00453756"/>
    <w:rsid w:val="00456DC2"/>
    <w:rsid w:val="00460CFA"/>
    <w:rsid w:val="00465AF3"/>
    <w:rsid w:val="00467AE2"/>
    <w:rsid w:val="00467EBE"/>
    <w:rsid w:val="00470A5D"/>
    <w:rsid w:val="0047233F"/>
    <w:rsid w:val="00472A23"/>
    <w:rsid w:val="00472D85"/>
    <w:rsid w:val="00475FD5"/>
    <w:rsid w:val="004803B7"/>
    <w:rsid w:val="004827F9"/>
    <w:rsid w:val="00484678"/>
    <w:rsid w:val="00490C09"/>
    <w:rsid w:val="00491716"/>
    <w:rsid w:val="004A20FD"/>
    <w:rsid w:val="004A3ADE"/>
    <w:rsid w:val="004A425B"/>
    <w:rsid w:val="004A5DFB"/>
    <w:rsid w:val="004B35EE"/>
    <w:rsid w:val="004B5F5B"/>
    <w:rsid w:val="004B6805"/>
    <w:rsid w:val="004C0691"/>
    <w:rsid w:val="004C101C"/>
    <w:rsid w:val="004C26F0"/>
    <w:rsid w:val="004C3137"/>
    <w:rsid w:val="004C3B2E"/>
    <w:rsid w:val="004C3EE2"/>
    <w:rsid w:val="004C4C36"/>
    <w:rsid w:val="004C5CCA"/>
    <w:rsid w:val="004C5D42"/>
    <w:rsid w:val="004C6D74"/>
    <w:rsid w:val="004C7AA5"/>
    <w:rsid w:val="004D12E7"/>
    <w:rsid w:val="004D4DD7"/>
    <w:rsid w:val="004D5BE1"/>
    <w:rsid w:val="004D5C64"/>
    <w:rsid w:val="004E0823"/>
    <w:rsid w:val="004E0B11"/>
    <w:rsid w:val="004E225B"/>
    <w:rsid w:val="004E3935"/>
    <w:rsid w:val="004E41DA"/>
    <w:rsid w:val="004E7098"/>
    <w:rsid w:val="004F0130"/>
    <w:rsid w:val="004F658C"/>
    <w:rsid w:val="00503EB4"/>
    <w:rsid w:val="00507284"/>
    <w:rsid w:val="00507DC2"/>
    <w:rsid w:val="00510CAA"/>
    <w:rsid w:val="00510DC2"/>
    <w:rsid w:val="005128F7"/>
    <w:rsid w:val="0051300A"/>
    <w:rsid w:val="00515C62"/>
    <w:rsid w:val="00517A1C"/>
    <w:rsid w:val="00520CB4"/>
    <w:rsid w:val="00523418"/>
    <w:rsid w:val="0053057E"/>
    <w:rsid w:val="00533316"/>
    <w:rsid w:val="0053449B"/>
    <w:rsid w:val="00535722"/>
    <w:rsid w:val="00535F69"/>
    <w:rsid w:val="00536EA9"/>
    <w:rsid w:val="00537E26"/>
    <w:rsid w:val="00541343"/>
    <w:rsid w:val="005479DD"/>
    <w:rsid w:val="005529CE"/>
    <w:rsid w:val="00556C3B"/>
    <w:rsid w:val="005605C6"/>
    <w:rsid w:val="00564EDF"/>
    <w:rsid w:val="005673C4"/>
    <w:rsid w:val="00567BBB"/>
    <w:rsid w:val="00570B96"/>
    <w:rsid w:val="0057192F"/>
    <w:rsid w:val="00571A3B"/>
    <w:rsid w:val="00572D21"/>
    <w:rsid w:val="00572DDF"/>
    <w:rsid w:val="005731F4"/>
    <w:rsid w:val="00575BBE"/>
    <w:rsid w:val="0057664A"/>
    <w:rsid w:val="00577DC6"/>
    <w:rsid w:val="00584195"/>
    <w:rsid w:val="005853C9"/>
    <w:rsid w:val="00587746"/>
    <w:rsid w:val="005908E9"/>
    <w:rsid w:val="005923D7"/>
    <w:rsid w:val="00592A14"/>
    <w:rsid w:val="00592C36"/>
    <w:rsid w:val="00593829"/>
    <w:rsid w:val="00595767"/>
    <w:rsid w:val="00595FAF"/>
    <w:rsid w:val="00596CD3"/>
    <w:rsid w:val="005A5921"/>
    <w:rsid w:val="005A5B90"/>
    <w:rsid w:val="005A6BA7"/>
    <w:rsid w:val="005B0849"/>
    <w:rsid w:val="005B1FDD"/>
    <w:rsid w:val="005B4E11"/>
    <w:rsid w:val="005B54BE"/>
    <w:rsid w:val="005B773E"/>
    <w:rsid w:val="005C6147"/>
    <w:rsid w:val="005C6976"/>
    <w:rsid w:val="005C73B5"/>
    <w:rsid w:val="005D1795"/>
    <w:rsid w:val="005D1A3D"/>
    <w:rsid w:val="005D417C"/>
    <w:rsid w:val="005D431A"/>
    <w:rsid w:val="005D4385"/>
    <w:rsid w:val="005D7BFC"/>
    <w:rsid w:val="005E2E37"/>
    <w:rsid w:val="005E6272"/>
    <w:rsid w:val="005E6D59"/>
    <w:rsid w:val="005E78F4"/>
    <w:rsid w:val="005E7AA8"/>
    <w:rsid w:val="005F2BF0"/>
    <w:rsid w:val="005F52F5"/>
    <w:rsid w:val="005F5F36"/>
    <w:rsid w:val="005F6294"/>
    <w:rsid w:val="006020BA"/>
    <w:rsid w:val="006046E1"/>
    <w:rsid w:val="00606382"/>
    <w:rsid w:val="00606E2B"/>
    <w:rsid w:val="0061503E"/>
    <w:rsid w:val="00615236"/>
    <w:rsid w:val="006152E9"/>
    <w:rsid w:val="00617199"/>
    <w:rsid w:val="00621CF4"/>
    <w:rsid w:val="006244D8"/>
    <w:rsid w:val="00624751"/>
    <w:rsid w:val="00625EE0"/>
    <w:rsid w:val="00631809"/>
    <w:rsid w:val="00632198"/>
    <w:rsid w:val="00632F91"/>
    <w:rsid w:val="006330EB"/>
    <w:rsid w:val="00634A27"/>
    <w:rsid w:val="006374D8"/>
    <w:rsid w:val="00642047"/>
    <w:rsid w:val="006440C4"/>
    <w:rsid w:val="00647729"/>
    <w:rsid w:val="00647A60"/>
    <w:rsid w:val="00650B06"/>
    <w:rsid w:val="00652003"/>
    <w:rsid w:val="00653B85"/>
    <w:rsid w:val="00654E95"/>
    <w:rsid w:val="006568E5"/>
    <w:rsid w:val="00662350"/>
    <w:rsid w:val="00664871"/>
    <w:rsid w:val="006660A4"/>
    <w:rsid w:val="00666BE3"/>
    <w:rsid w:val="00670FE3"/>
    <w:rsid w:val="00675241"/>
    <w:rsid w:val="0067560A"/>
    <w:rsid w:val="006760B5"/>
    <w:rsid w:val="006771CA"/>
    <w:rsid w:val="00680010"/>
    <w:rsid w:val="0068472E"/>
    <w:rsid w:val="006A1087"/>
    <w:rsid w:val="006A22B9"/>
    <w:rsid w:val="006A350D"/>
    <w:rsid w:val="006A6668"/>
    <w:rsid w:val="006B3355"/>
    <w:rsid w:val="006B34DB"/>
    <w:rsid w:val="006B68E2"/>
    <w:rsid w:val="006C1B83"/>
    <w:rsid w:val="006C4552"/>
    <w:rsid w:val="006C4D83"/>
    <w:rsid w:val="006C5588"/>
    <w:rsid w:val="006C6147"/>
    <w:rsid w:val="006D07C0"/>
    <w:rsid w:val="006D2238"/>
    <w:rsid w:val="006D47A1"/>
    <w:rsid w:val="006D4C7B"/>
    <w:rsid w:val="006D4EEE"/>
    <w:rsid w:val="006D6300"/>
    <w:rsid w:val="006D780D"/>
    <w:rsid w:val="006E0460"/>
    <w:rsid w:val="006E0699"/>
    <w:rsid w:val="006E1D25"/>
    <w:rsid w:val="006E3EE8"/>
    <w:rsid w:val="006E4996"/>
    <w:rsid w:val="006E5A62"/>
    <w:rsid w:val="006E60A7"/>
    <w:rsid w:val="006F13AD"/>
    <w:rsid w:val="006F7588"/>
    <w:rsid w:val="0070220F"/>
    <w:rsid w:val="0070588F"/>
    <w:rsid w:val="00705E3C"/>
    <w:rsid w:val="00711049"/>
    <w:rsid w:val="0071396D"/>
    <w:rsid w:val="0071418C"/>
    <w:rsid w:val="0071529C"/>
    <w:rsid w:val="007166C5"/>
    <w:rsid w:val="007169D5"/>
    <w:rsid w:val="00716A46"/>
    <w:rsid w:val="0072078B"/>
    <w:rsid w:val="007208E5"/>
    <w:rsid w:val="00723A47"/>
    <w:rsid w:val="00724547"/>
    <w:rsid w:val="007349F9"/>
    <w:rsid w:val="00734E16"/>
    <w:rsid w:val="00736396"/>
    <w:rsid w:val="00736996"/>
    <w:rsid w:val="007424FF"/>
    <w:rsid w:val="0074293B"/>
    <w:rsid w:val="007438D0"/>
    <w:rsid w:val="007452E9"/>
    <w:rsid w:val="00745B27"/>
    <w:rsid w:val="00745E1B"/>
    <w:rsid w:val="007570F8"/>
    <w:rsid w:val="00764C21"/>
    <w:rsid w:val="007650A3"/>
    <w:rsid w:val="007650F4"/>
    <w:rsid w:val="00770D26"/>
    <w:rsid w:val="007759D8"/>
    <w:rsid w:val="007835C9"/>
    <w:rsid w:val="00784284"/>
    <w:rsid w:val="00786CCC"/>
    <w:rsid w:val="00790E30"/>
    <w:rsid w:val="00791BB2"/>
    <w:rsid w:val="0079296E"/>
    <w:rsid w:val="00794C30"/>
    <w:rsid w:val="007977BC"/>
    <w:rsid w:val="007A1F66"/>
    <w:rsid w:val="007A288B"/>
    <w:rsid w:val="007A4BC1"/>
    <w:rsid w:val="007A6F59"/>
    <w:rsid w:val="007B3347"/>
    <w:rsid w:val="007B4896"/>
    <w:rsid w:val="007B7E2D"/>
    <w:rsid w:val="007C0262"/>
    <w:rsid w:val="007C2565"/>
    <w:rsid w:val="007C4103"/>
    <w:rsid w:val="007C5760"/>
    <w:rsid w:val="007C5911"/>
    <w:rsid w:val="007C6AE3"/>
    <w:rsid w:val="007C7B55"/>
    <w:rsid w:val="007C7DE7"/>
    <w:rsid w:val="007D1959"/>
    <w:rsid w:val="007D3547"/>
    <w:rsid w:val="007D5D5E"/>
    <w:rsid w:val="007D6D9D"/>
    <w:rsid w:val="007E5BE2"/>
    <w:rsid w:val="007E5DBF"/>
    <w:rsid w:val="007E6348"/>
    <w:rsid w:val="007E77A9"/>
    <w:rsid w:val="007F2587"/>
    <w:rsid w:val="007F2C68"/>
    <w:rsid w:val="007F5329"/>
    <w:rsid w:val="007F692A"/>
    <w:rsid w:val="00800D97"/>
    <w:rsid w:val="0080468F"/>
    <w:rsid w:val="00806F40"/>
    <w:rsid w:val="00810329"/>
    <w:rsid w:val="00810F94"/>
    <w:rsid w:val="00811A6E"/>
    <w:rsid w:val="00813745"/>
    <w:rsid w:val="00814B13"/>
    <w:rsid w:val="00815AC5"/>
    <w:rsid w:val="00816769"/>
    <w:rsid w:val="0081690A"/>
    <w:rsid w:val="00821556"/>
    <w:rsid w:val="008217CE"/>
    <w:rsid w:val="0082194F"/>
    <w:rsid w:val="00821F3C"/>
    <w:rsid w:val="0082356D"/>
    <w:rsid w:val="0082609B"/>
    <w:rsid w:val="00826EA1"/>
    <w:rsid w:val="00827FC2"/>
    <w:rsid w:val="0083340F"/>
    <w:rsid w:val="00834BF4"/>
    <w:rsid w:val="00835710"/>
    <w:rsid w:val="00837017"/>
    <w:rsid w:val="00841582"/>
    <w:rsid w:val="008419A5"/>
    <w:rsid w:val="00841D08"/>
    <w:rsid w:val="00843914"/>
    <w:rsid w:val="00843B68"/>
    <w:rsid w:val="0084485D"/>
    <w:rsid w:val="00850F53"/>
    <w:rsid w:val="00851DC4"/>
    <w:rsid w:val="00853975"/>
    <w:rsid w:val="0085418B"/>
    <w:rsid w:val="0085486B"/>
    <w:rsid w:val="00854C4D"/>
    <w:rsid w:val="00856F44"/>
    <w:rsid w:val="00857087"/>
    <w:rsid w:val="00857D9F"/>
    <w:rsid w:val="008625D2"/>
    <w:rsid w:val="00870900"/>
    <w:rsid w:val="00871459"/>
    <w:rsid w:val="0087261B"/>
    <w:rsid w:val="00872D15"/>
    <w:rsid w:val="00872FE7"/>
    <w:rsid w:val="00873494"/>
    <w:rsid w:val="00874100"/>
    <w:rsid w:val="00876277"/>
    <w:rsid w:val="00886A68"/>
    <w:rsid w:val="008876C0"/>
    <w:rsid w:val="00887720"/>
    <w:rsid w:val="00890E83"/>
    <w:rsid w:val="00890EDD"/>
    <w:rsid w:val="00892878"/>
    <w:rsid w:val="00893216"/>
    <w:rsid w:val="00893C02"/>
    <w:rsid w:val="00895719"/>
    <w:rsid w:val="008A1A77"/>
    <w:rsid w:val="008A1BBF"/>
    <w:rsid w:val="008A355F"/>
    <w:rsid w:val="008A3C15"/>
    <w:rsid w:val="008A5B00"/>
    <w:rsid w:val="008A7236"/>
    <w:rsid w:val="008B2273"/>
    <w:rsid w:val="008B4DF7"/>
    <w:rsid w:val="008B532B"/>
    <w:rsid w:val="008B63AE"/>
    <w:rsid w:val="008B6A37"/>
    <w:rsid w:val="008B6F58"/>
    <w:rsid w:val="008B7F91"/>
    <w:rsid w:val="008C397E"/>
    <w:rsid w:val="008C5F57"/>
    <w:rsid w:val="008C7477"/>
    <w:rsid w:val="008D00CB"/>
    <w:rsid w:val="008D0B2B"/>
    <w:rsid w:val="008D18B8"/>
    <w:rsid w:val="008D3035"/>
    <w:rsid w:val="008E09E7"/>
    <w:rsid w:val="008E4F4C"/>
    <w:rsid w:val="008F0910"/>
    <w:rsid w:val="008F11C3"/>
    <w:rsid w:val="008F478F"/>
    <w:rsid w:val="00900918"/>
    <w:rsid w:val="00902FD7"/>
    <w:rsid w:val="0090314E"/>
    <w:rsid w:val="00904FE8"/>
    <w:rsid w:val="00906DE2"/>
    <w:rsid w:val="009108BA"/>
    <w:rsid w:val="0091132F"/>
    <w:rsid w:val="00912172"/>
    <w:rsid w:val="0091303E"/>
    <w:rsid w:val="009170FE"/>
    <w:rsid w:val="00917238"/>
    <w:rsid w:val="00925D40"/>
    <w:rsid w:val="0092779F"/>
    <w:rsid w:val="00927A4B"/>
    <w:rsid w:val="00927BDE"/>
    <w:rsid w:val="00932FB2"/>
    <w:rsid w:val="009348B6"/>
    <w:rsid w:val="009351AC"/>
    <w:rsid w:val="00936011"/>
    <w:rsid w:val="0093682F"/>
    <w:rsid w:val="009372F4"/>
    <w:rsid w:val="00937694"/>
    <w:rsid w:val="009438B2"/>
    <w:rsid w:val="00945868"/>
    <w:rsid w:val="00945870"/>
    <w:rsid w:val="00945C92"/>
    <w:rsid w:val="00945D2D"/>
    <w:rsid w:val="009468ED"/>
    <w:rsid w:val="00950A23"/>
    <w:rsid w:val="00950F76"/>
    <w:rsid w:val="0095113F"/>
    <w:rsid w:val="00953DF6"/>
    <w:rsid w:val="0095568F"/>
    <w:rsid w:val="00955F38"/>
    <w:rsid w:val="009563D1"/>
    <w:rsid w:val="009605EC"/>
    <w:rsid w:val="0096289F"/>
    <w:rsid w:val="00966FF2"/>
    <w:rsid w:val="0096729A"/>
    <w:rsid w:val="00967ED3"/>
    <w:rsid w:val="009731F1"/>
    <w:rsid w:val="00974819"/>
    <w:rsid w:val="00976C49"/>
    <w:rsid w:val="00982110"/>
    <w:rsid w:val="00982DCD"/>
    <w:rsid w:val="00984043"/>
    <w:rsid w:val="0098509B"/>
    <w:rsid w:val="00986A27"/>
    <w:rsid w:val="0099604F"/>
    <w:rsid w:val="009963F4"/>
    <w:rsid w:val="009A0374"/>
    <w:rsid w:val="009A256C"/>
    <w:rsid w:val="009A273F"/>
    <w:rsid w:val="009A2EEC"/>
    <w:rsid w:val="009A2F46"/>
    <w:rsid w:val="009A437F"/>
    <w:rsid w:val="009A6770"/>
    <w:rsid w:val="009B363B"/>
    <w:rsid w:val="009B39F4"/>
    <w:rsid w:val="009B3C8F"/>
    <w:rsid w:val="009B57D8"/>
    <w:rsid w:val="009C1665"/>
    <w:rsid w:val="009C2B60"/>
    <w:rsid w:val="009C5513"/>
    <w:rsid w:val="009C64C3"/>
    <w:rsid w:val="009C7963"/>
    <w:rsid w:val="009D056E"/>
    <w:rsid w:val="009D0597"/>
    <w:rsid w:val="009D0A70"/>
    <w:rsid w:val="009D0D06"/>
    <w:rsid w:val="009D11A2"/>
    <w:rsid w:val="009D3B6F"/>
    <w:rsid w:val="009D5E09"/>
    <w:rsid w:val="009D654C"/>
    <w:rsid w:val="009E237F"/>
    <w:rsid w:val="009E3617"/>
    <w:rsid w:val="009E6ADD"/>
    <w:rsid w:val="009F07B0"/>
    <w:rsid w:val="009F3AB1"/>
    <w:rsid w:val="009F4AFE"/>
    <w:rsid w:val="009F6DEA"/>
    <w:rsid w:val="009F6E48"/>
    <w:rsid w:val="00A01A57"/>
    <w:rsid w:val="00A0749D"/>
    <w:rsid w:val="00A10C55"/>
    <w:rsid w:val="00A120DA"/>
    <w:rsid w:val="00A1399E"/>
    <w:rsid w:val="00A16497"/>
    <w:rsid w:val="00A172EF"/>
    <w:rsid w:val="00A2061E"/>
    <w:rsid w:val="00A21E3A"/>
    <w:rsid w:val="00A232A6"/>
    <w:rsid w:val="00A235E4"/>
    <w:rsid w:val="00A23845"/>
    <w:rsid w:val="00A26D05"/>
    <w:rsid w:val="00A270FE"/>
    <w:rsid w:val="00A277C7"/>
    <w:rsid w:val="00A36D5A"/>
    <w:rsid w:val="00A36DD5"/>
    <w:rsid w:val="00A36E7C"/>
    <w:rsid w:val="00A40FCE"/>
    <w:rsid w:val="00A41DB7"/>
    <w:rsid w:val="00A444E5"/>
    <w:rsid w:val="00A45DC9"/>
    <w:rsid w:val="00A466F9"/>
    <w:rsid w:val="00A5222F"/>
    <w:rsid w:val="00A5602A"/>
    <w:rsid w:val="00A577A3"/>
    <w:rsid w:val="00A65A38"/>
    <w:rsid w:val="00A6790C"/>
    <w:rsid w:val="00A722BF"/>
    <w:rsid w:val="00A75C9C"/>
    <w:rsid w:val="00A75F66"/>
    <w:rsid w:val="00A7641E"/>
    <w:rsid w:val="00A76E8D"/>
    <w:rsid w:val="00A82508"/>
    <w:rsid w:val="00A86298"/>
    <w:rsid w:val="00A87172"/>
    <w:rsid w:val="00A873FD"/>
    <w:rsid w:val="00A87EB9"/>
    <w:rsid w:val="00A91C8C"/>
    <w:rsid w:val="00A9283D"/>
    <w:rsid w:val="00AA0386"/>
    <w:rsid w:val="00AA1E41"/>
    <w:rsid w:val="00AA2D9A"/>
    <w:rsid w:val="00AA2E62"/>
    <w:rsid w:val="00AA30A8"/>
    <w:rsid w:val="00AB4DD8"/>
    <w:rsid w:val="00AB504D"/>
    <w:rsid w:val="00AB516B"/>
    <w:rsid w:val="00AB51CB"/>
    <w:rsid w:val="00AB6868"/>
    <w:rsid w:val="00AC005F"/>
    <w:rsid w:val="00AC29B4"/>
    <w:rsid w:val="00AC5DB8"/>
    <w:rsid w:val="00AC6320"/>
    <w:rsid w:val="00AC717C"/>
    <w:rsid w:val="00AC72B3"/>
    <w:rsid w:val="00AC7AE8"/>
    <w:rsid w:val="00AD2F7B"/>
    <w:rsid w:val="00AD613C"/>
    <w:rsid w:val="00AD74C8"/>
    <w:rsid w:val="00AE2D4A"/>
    <w:rsid w:val="00AE2DDD"/>
    <w:rsid w:val="00AE4B1E"/>
    <w:rsid w:val="00AE5251"/>
    <w:rsid w:val="00AE5423"/>
    <w:rsid w:val="00AE646F"/>
    <w:rsid w:val="00AE754B"/>
    <w:rsid w:val="00AE7595"/>
    <w:rsid w:val="00AF314A"/>
    <w:rsid w:val="00AF3410"/>
    <w:rsid w:val="00AF3632"/>
    <w:rsid w:val="00AF37C3"/>
    <w:rsid w:val="00AF50FC"/>
    <w:rsid w:val="00AF66FF"/>
    <w:rsid w:val="00B02E30"/>
    <w:rsid w:val="00B0570C"/>
    <w:rsid w:val="00B05A58"/>
    <w:rsid w:val="00B05F52"/>
    <w:rsid w:val="00B062C1"/>
    <w:rsid w:val="00B0651B"/>
    <w:rsid w:val="00B0688A"/>
    <w:rsid w:val="00B072C5"/>
    <w:rsid w:val="00B075A8"/>
    <w:rsid w:val="00B1058F"/>
    <w:rsid w:val="00B1379B"/>
    <w:rsid w:val="00B13BB9"/>
    <w:rsid w:val="00B2017A"/>
    <w:rsid w:val="00B224B5"/>
    <w:rsid w:val="00B30AE5"/>
    <w:rsid w:val="00B30D4B"/>
    <w:rsid w:val="00B326F4"/>
    <w:rsid w:val="00B370FE"/>
    <w:rsid w:val="00B378EC"/>
    <w:rsid w:val="00B4090A"/>
    <w:rsid w:val="00B42CF2"/>
    <w:rsid w:val="00B45732"/>
    <w:rsid w:val="00B51483"/>
    <w:rsid w:val="00B52575"/>
    <w:rsid w:val="00B542A7"/>
    <w:rsid w:val="00B55BCC"/>
    <w:rsid w:val="00B55CD1"/>
    <w:rsid w:val="00B56EF2"/>
    <w:rsid w:val="00B6127A"/>
    <w:rsid w:val="00B65806"/>
    <w:rsid w:val="00B66646"/>
    <w:rsid w:val="00B66EF7"/>
    <w:rsid w:val="00B678D2"/>
    <w:rsid w:val="00B678DE"/>
    <w:rsid w:val="00B701C3"/>
    <w:rsid w:val="00B70CCF"/>
    <w:rsid w:val="00B75C00"/>
    <w:rsid w:val="00B76B58"/>
    <w:rsid w:val="00B76F8E"/>
    <w:rsid w:val="00B7798A"/>
    <w:rsid w:val="00B802C0"/>
    <w:rsid w:val="00B8130A"/>
    <w:rsid w:val="00B81386"/>
    <w:rsid w:val="00B85A76"/>
    <w:rsid w:val="00B86A44"/>
    <w:rsid w:val="00B86B6A"/>
    <w:rsid w:val="00B87D02"/>
    <w:rsid w:val="00B91F08"/>
    <w:rsid w:val="00B92026"/>
    <w:rsid w:val="00B96865"/>
    <w:rsid w:val="00B96B19"/>
    <w:rsid w:val="00BA20A9"/>
    <w:rsid w:val="00BA29DF"/>
    <w:rsid w:val="00BA2CFC"/>
    <w:rsid w:val="00BA3650"/>
    <w:rsid w:val="00BA4911"/>
    <w:rsid w:val="00BA75D3"/>
    <w:rsid w:val="00BB0194"/>
    <w:rsid w:val="00BB164E"/>
    <w:rsid w:val="00BB2942"/>
    <w:rsid w:val="00BB5943"/>
    <w:rsid w:val="00BB6562"/>
    <w:rsid w:val="00BB791C"/>
    <w:rsid w:val="00BC29EC"/>
    <w:rsid w:val="00BC3596"/>
    <w:rsid w:val="00BC6B0A"/>
    <w:rsid w:val="00BC7545"/>
    <w:rsid w:val="00BC7884"/>
    <w:rsid w:val="00BD43A8"/>
    <w:rsid w:val="00BD6D6A"/>
    <w:rsid w:val="00BE72B7"/>
    <w:rsid w:val="00BE784A"/>
    <w:rsid w:val="00BF2ABB"/>
    <w:rsid w:val="00BF3CE7"/>
    <w:rsid w:val="00BF5B0B"/>
    <w:rsid w:val="00BF754A"/>
    <w:rsid w:val="00C00731"/>
    <w:rsid w:val="00C02FEA"/>
    <w:rsid w:val="00C03257"/>
    <w:rsid w:val="00C03DE4"/>
    <w:rsid w:val="00C05C87"/>
    <w:rsid w:val="00C067F0"/>
    <w:rsid w:val="00C1016C"/>
    <w:rsid w:val="00C10B4A"/>
    <w:rsid w:val="00C1160A"/>
    <w:rsid w:val="00C1262E"/>
    <w:rsid w:val="00C12CDF"/>
    <w:rsid w:val="00C13A17"/>
    <w:rsid w:val="00C165A0"/>
    <w:rsid w:val="00C17221"/>
    <w:rsid w:val="00C174D2"/>
    <w:rsid w:val="00C22C65"/>
    <w:rsid w:val="00C2345A"/>
    <w:rsid w:val="00C255F9"/>
    <w:rsid w:val="00C26AAE"/>
    <w:rsid w:val="00C316C4"/>
    <w:rsid w:val="00C31973"/>
    <w:rsid w:val="00C373BC"/>
    <w:rsid w:val="00C46A23"/>
    <w:rsid w:val="00C4748B"/>
    <w:rsid w:val="00C64A91"/>
    <w:rsid w:val="00C6648A"/>
    <w:rsid w:val="00C67E52"/>
    <w:rsid w:val="00C72E3D"/>
    <w:rsid w:val="00C7367D"/>
    <w:rsid w:val="00C750D8"/>
    <w:rsid w:val="00C75EC5"/>
    <w:rsid w:val="00C817FB"/>
    <w:rsid w:val="00C81FB3"/>
    <w:rsid w:val="00C929F3"/>
    <w:rsid w:val="00C93AE7"/>
    <w:rsid w:val="00C95008"/>
    <w:rsid w:val="00CA1498"/>
    <w:rsid w:val="00CA1E08"/>
    <w:rsid w:val="00CA36BB"/>
    <w:rsid w:val="00CA4551"/>
    <w:rsid w:val="00CB111D"/>
    <w:rsid w:val="00CB4DB6"/>
    <w:rsid w:val="00CB538D"/>
    <w:rsid w:val="00CB6282"/>
    <w:rsid w:val="00CB6689"/>
    <w:rsid w:val="00CB71F4"/>
    <w:rsid w:val="00CC0416"/>
    <w:rsid w:val="00CC2CD4"/>
    <w:rsid w:val="00CC3EE1"/>
    <w:rsid w:val="00CC4F5E"/>
    <w:rsid w:val="00CD0ABD"/>
    <w:rsid w:val="00CD679D"/>
    <w:rsid w:val="00CD78B6"/>
    <w:rsid w:val="00CE1208"/>
    <w:rsid w:val="00CE2167"/>
    <w:rsid w:val="00CE3EF3"/>
    <w:rsid w:val="00CE49F7"/>
    <w:rsid w:val="00CE6F60"/>
    <w:rsid w:val="00CE71FA"/>
    <w:rsid w:val="00CE7B06"/>
    <w:rsid w:val="00CF2194"/>
    <w:rsid w:val="00D02001"/>
    <w:rsid w:val="00D03463"/>
    <w:rsid w:val="00D04B78"/>
    <w:rsid w:val="00D04E8E"/>
    <w:rsid w:val="00D056E2"/>
    <w:rsid w:val="00D12811"/>
    <w:rsid w:val="00D130A3"/>
    <w:rsid w:val="00D15460"/>
    <w:rsid w:val="00D15BFA"/>
    <w:rsid w:val="00D1660A"/>
    <w:rsid w:val="00D176E1"/>
    <w:rsid w:val="00D24EC4"/>
    <w:rsid w:val="00D264EB"/>
    <w:rsid w:val="00D26887"/>
    <w:rsid w:val="00D31B20"/>
    <w:rsid w:val="00D327DE"/>
    <w:rsid w:val="00D32EB5"/>
    <w:rsid w:val="00D3310B"/>
    <w:rsid w:val="00D36AFC"/>
    <w:rsid w:val="00D430C1"/>
    <w:rsid w:val="00D460D8"/>
    <w:rsid w:val="00D462E4"/>
    <w:rsid w:val="00D51E9A"/>
    <w:rsid w:val="00D51F4C"/>
    <w:rsid w:val="00D52FD6"/>
    <w:rsid w:val="00D57021"/>
    <w:rsid w:val="00D60C38"/>
    <w:rsid w:val="00D64503"/>
    <w:rsid w:val="00D65544"/>
    <w:rsid w:val="00D71544"/>
    <w:rsid w:val="00D71F27"/>
    <w:rsid w:val="00D757E7"/>
    <w:rsid w:val="00D75EAC"/>
    <w:rsid w:val="00D8002E"/>
    <w:rsid w:val="00D8023E"/>
    <w:rsid w:val="00D8232E"/>
    <w:rsid w:val="00D844CE"/>
    <w:rsid w:val="00D84811"/>
    <w:rsid w:val="00D874F9"/>
    <w:rsid w:val="00D90559"/>
    <w:rsid w:val="00D91BE0"/>
    <w:rsid w:val="00D92D8B"/>
    <w:rsid w:val="00D9386E"/>
    <w:rsid w:val="00D945C0"/>
    <w:rsid w:val="00D94BFB"/>
    <w:rsid w:val="00D97EB7"/>
    <w:rsid w:val="00D97EC3"/>
    <w:rsid w:val="00DA61BB"/>
    <w:rsid w:val="00DB0C67"/>
    <w:rsid w:val="00DB41D6"/>
    <w:rsid w:val="00DB4A9A"/>
    <w:rsid w:val="00DC064A"/>
    <w:rsid w:val="00DC0A75"/>
    <w:rsid w:val="00DC12E3"/>
    <w:rsid w:val="00DC1916"/>
    <w:rsid w:val="00DC2520"/>
    <w:rsid w:val="00DC3264"/>
    <w:rsid w:val="00DC3945"/>
    <w:rsid w:val="00DC41CA"/>
    <w:rsid w:val="00DC46D6"/>
    <w:rsid w:val="00DC7FF3"/>
    <w:rsid w:val="00DD3286"/>
    <w:rsid w:val="00DD5E22"/>
    <w:rsid w:val="00DD61A4"/>
    <w:rsid w:val="00DD6EA0"/>
    <w:rsid w:val="00DE3C9D"/>
    <w:rsid w:val="00DE433D"/>
    <w:rsid w:val="00DE4C0B"/>
    <w:rsid w:val="00DF75AE"/>
    <w:rsid w:val="00E03B26"/>
    <w:rsid w:val="00E05D62"/>
    <w:rsid w:val="00E05E68"/>
    <w:rsid w:val="00E07BA1"/>
    <w:rsid w:val="00E11E97"/>
    <w:rsid w:val="00E128E1"/>
    <w:rsid w:val="00E16825"/>
    <w:rsid w:val="00E16A65"/>
    <w:rsid w:val="00E21002"/>
    <w:rsid w:val="00E211A0"/>
    <w:rsid w:val="00E216CF"/>
    <w:rsid w:val="00E21964"/>
    <w:rsid w:val="00E23EF5"/>
    <w:rsid w:val="00E26ABD"/>
    <w:rsid w:val="00E270BA"/>
    <w:rsid w:val="00E279B8"/>
    <w:rsid w:val="00E30AEA"/>
    <w:rsid w:val="00E31BB4"/>
    <w:rsid w:val="00E321E7"/>
    <w:rsid w:val="00E3319A"/>
    <w:rsid w:val="00E331C8"/>
    <w:rsid w:val="00E33A0F"/>
    <w:rsid w:val="00E34614"/>
    <w:rsid w:val="00E36276"/>
    <w:rsid w:val="00E3772E"/>
    <w:rsid w:val="00E44901"/>
    <w:rsid w:val="00E466A2"/>
    <w:rsid w:val="00E47AED"/>
    <w:rsid w:val="00E5009D"/>
    <w:rsid w:val="00E50D92"/>
    <w:rsid w:val="00E517C5"/>
    <w:rsid w:val="00E53D63"/>
    <w:rsid w:val="00E562EF"/>
    <w:rsid w:val="00E56771"/>
    <w:rsid w:val="00E6019C"/>
    <w:rsid w:val="00E63042"/>
    <w:rsid w:val="00E67CB7"/>
    <w:rsid w:val="00E70638"/>
    <w:rsid w:val="00E707AD"/>
    <w:rsid w:val="00E714E4"/>
    <w:rsid w:val="00E72EA3"/>
    <w:rsid w:val="00E7322F"/>
    <w:rsid w:val="00E7450B"/>
    <w:rsid w:val="00E81BC6"/>
    <w:rsid w:val="00E822B3"/>
    <w:rsid w:val="00E83224"/>
    <w:rsid w:val="00E843DB"/>
    <w:rsid w:val="00E85E3C"/>
    <w:rsid w:val="00E90C0A"/>
    <w:rsid w:val="00E91776"/>
    <w:rsid w:val="00E91F2D"/>
    <w:rsid w:val="00E92DEA"/>
    <w:rsid w:val="00E9575F"/>
    <w:rsid w:val="00E95873"/>
    <w:rsid w:val="00E95CA3"/>
    <w:rsid w:val="00E977D4"/>
    <w:rsid w:val="00EA13E7"/>
    <w:rsid w:val="00EA42C3"/>
    <w:rsid w:val="00EA6305"/>
    <w:rsid w:val="00EB213D"/>
    <w:rsid w:val="00EB66A0"/>
    <w:rsid w:val="00EC141B"/>
    <w:rsid w:val="00EC3026"/>
    <w:rsid w:val="00EC30BA"/>
    <w:rsid w:val="00ED115C"/>
    <w:rsid w:val="00ED5B25"/>
    <w:rsid w:val="00ED6460"/>
    <w:rsid w:val="00ED71A0"/>
    <w:rsid w:val="00EE0477"/>
    <w:rsid w:val="00EE0BDF"/>
    <w:rsid w:val="00EE14FE"/>
    <w:rsid w:val="00EE21BA"/>
    <w:rsid w:val="00EE2628"/>
    <w:rsid w:val="00EE5E33"/>
    <w:rsid w:val="00EF0275"/>
    <w:rsid w:val="00EF10D8"/>
    <w:rsid w:val="00EF1BEB"/>
    <w:rsid w:val="00EF6A09"/>
    <w:rsid w:val="00F02EAA"/>
    <w:rsid w:val="00F0691F"/>
    <w:rsid w:val="00F11C10"/>
    <w:rsid w:val="00F123CD"/>
    <w:rsid w:val="00F1263C"/>
    <w:rsid w:val="00F156DA"/>
    <w:rsid w:val="00F158E8"/>
    <w:rsid w:val="00F16B30"/>
    <w:rsid w:val="00F170A1"/>
    <w:rsid w:val="00F173B1"/>
    <w:rsid w:val="00F21530"/>
    <w:rsid w:val="00F226FF"/>
    <w:rsid w:val="00F232C2"/>
    <w:rsid w:val="00F251A6"/>
    <w:rsid w:val="00F25DA2"/>
    <w:rsid w:val="00F31A0D"/>
    <w:rsid w:val="00F34587"/>
    <w:rsid w:val="00F3490E"/>
    <w:rsid w:val="00F34EB1"/>
    <w:rsid w:val="00F359C4"/>
    <w:rsid w:val="00F3727D"/>
    <w:rsid w:val="00F41469"/>
    <w:rsid w:val="00F427BF"/>
    <w:rsid w:val="00F42C27"/>
    <w:rsid w:val="00F4581E"/>
    <w:rsid w:val="00F45CAB"/>
    <w:rsid w:val="00F46716"/>
    <w:rsid w:val="00F46D97"/>
    <w:rsid w:val="00F51EDC"/>
    <w:rsid w:val="00F5228C"/>
    <w:rsid w:val="00F531D0"/>
    <w:rsid w:val="00F54FA0"/>
    <w:rsid w:val="00F553A6"/>
    <w:rsid w:val="00F57B08"/>
    <w:rsid w:val="00F609F5"/>
    <w:rsid w:val="00F64047"/>
    <w:rsid w:val="00F668C8"/>
    <w:rsid w:val="00F7032F"/>
    <w:rsid w:val="00F70C74"/>
    <w:rsid w:val="00F719A9"/>
    <w:rsid w:val="00F8090E"/>
    <w:rsid w:val="00F8404A"/>
    <w:rsid w:val="00F84A49"/>
    <w:rsid w:val="00F8573D"/>
    <w:rsid w:val="00F86DCA"/>
    <w:rsid w:val="00F9017A"/>
    <w:rsid w:val="00F93FCA"/>
    <w:rsid w:val="00F96C76"/>
    <w:rsid w:val="00FA0247"/>
    <w:rsid w:val="00FA78E6"/>
    <w:rsid w:val="00FA793B"/>
    <w:rsid w:val="00FB6FB9"/>
    <w:rsid w:val="00FB7944"/>
    <w:rsid w:val="00FC0404"/>
    <w:rsid w:val="00FC1D50"/>
    <w:rsid w:val="00FC60AC"/>
    <w:rsid w:val="00FC767E"/>
    <w:rsid w:val="00FC7C5B"/>
    <w:rsid w:val="00FD1DD0"/>
    <w:rsid w:val="00FD2D02"/>
    <w:rsid w:val="00FD4721"/>
    <w:rsid w:val="00FD553E"/>
    <w:rsid w:val="00FD5C54"/>
    <w:rsid w:val="00FD5E3E"/>
    <w:rsid w:val="00FD5EA3"/>
    <w:rsid w:val="00FD6772"/>
    <w:rsid w:val="00FE0EE2"/>
    <w:rsid w:val="00FE3F41"/>
    <w:rsid w:val="00FE4B19"/>
    <w:rsid w:val="00FE521E"/>
    <w:rsid w:val="00FE71F5"/>
    <w:rsid w:val="00FF0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1032"/>
    <o:shapelayout v:ext="edit">
      <o:idmap v:ext="edit" data="1"/>
    </o:shapelayout>
  </w:shapeDefaults>
  <w:decimalSymbol w:val="."/>
  <w:listSeparator w:val=","/>
  <w15:docId w15:val="{D83CC911-72F7-4211-9F7A-DFEC6CFB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E1B"/>
    <w:pPr>
      <w:spacing w:before="120" w:after="60"/>
    </w:pPr>
    <w:rPr>
      <w:kern w:val="16"/>
      <w:sz w:val="22"/>
    </w:rPr>
  </w:style>
  <w:style w:type="paragraph" w:styleId="Heading1">
    <w:name w:val="heading 1"/>
    <w:basedOn w:val="Normal"/>
    <w:next w:val="Normal"/>
    <w:qFormat/>
    <w:rsid w:val="00745E1B"/>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Normal"/>
    <w:next w:val="Normal"/>
    <w:qFormat/>
    <w:rsid w:val="00745E1B"/>
    <w:pPr>
      <w:keepNext/>
      <w:pageBreakBefore/>
      <w:numPr>
        <w:ilvl w:val="1"/>
        <w:numId w:val="2"/>
      </w:numPr>
      <w:tabs>
        <w:tab w:val="left" w:pos="720"/>
      </w:tabs>
      <w:spacing w:before="0" w:after="240"/>
      <w:outlineLvl w:val="1"/>
    </w:pPr>
    <w:rPr>
      <w:rFonts w:ascii="Arial" w:hAnsi="Arial"/>
      <w:b/>
      <w:color w:val="000000"/>
      <w:kern w:val="32"/>
      <w:sz w:val="32"/>
    </w:rPr>
  </w:style>
  <w:style w:type="paragraph" w:styleId="Heading3">
    <w:name w:val="heading 3"/>
    <w:basedOn w:val="Normal"/>
    <w:next w:val="Normal"/>
    <w:qFormat/>
    <w:rsid w:val="00745E1B"/>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745E1B"/>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745E1B"/>
    <w:pPr>
      <w:spacing w:before="240"/>
      <w:outlineLvl w:val="4"/>
    </w:pPr>
    <w:rPr>
      <w:b/>
      <w:bCs/>
      <w:iCs/>
      <w:szCs w:val="26"/>
    </w:rPr>
  </w:style>
  <w:style w:type="paragraph" w:styleId="Heading6">
    <w:name w:val="heading 6"/>
    <w:basedOn w:val="Normal"/>
    <w:next w:val="Normal"/>
    <w:qFormat/>
    <w:rsid w:val="00745E1B"/>
    <w:pPr>
      <w:numPr>
        <w:ilvl w:val="5"/>
        <w:numId w:val="2"/>
      </w:numPr>
      <w:spacing w:before="240"/>
      <w:outlineLvl w:val="5"/>
    </w:pPr>
    <w:rPr>
      <w:i/>
    </w:rPr>
  </w:style>
  <w:style w:type="paragraph" w:styleId="Heading7">
    <w:name w:val="heading 7"/>
    <w:basedOn w:val="Normal"/>
    <w:next w:val="Normal"/>
    <w:qFormat/>
    <w:rsid w:val="00745E1B"/>
    <w:pPr>
      <w:numPr>
        <w:ilvl w:val="6"/>
        <w:numId w:val="2"/>
      </w:numPr>
      <w:spacing w:before="240"/>
      <w:outlineLvl w:val="6"/>
    </w:pPr>
    <w:rPr>
      <w:rFonts w:ascii="Arial" w:hAnsi="Arial"/>
      <w:sz w:val="20"/>
    </w:rPr>
  </w:style>
  <w:style w:type="paragraph" w:styleId="Heading8">
    <w:name w:val="heading 8"/>
    <w:basedOn w:val="Normal"/>
    <w:next w:val="Normal"/>
    <w:qFormat/>
    <w:rsid w:val="00745E1B"/>
    <w:pPr>
      <w:numPr>
        <w:ilvl w:val="7"/>
        <w:numId w:val="2"/>
      </w:numPr>
      <w:spacing w:before="240"/>
      <w:outlineLvl w:val="7"/>
    </w:pPr>
    <w:rPr>
      <w:rFonts w:ascii="Arial" w:hAnsi="Arial"/>
      <w:i/>
      <w:sz w:val="20"/>
    </w:rPr>
  </w:style>
  <w:style w:type="paragraph" w:styleId="Heading9">
    <w:name w:val="heading 9"/>
    <w:basedOn w:val="Normal"/>
    <w:next w:val="Normal"/>
    <w:qFormat/>
    <w:rsid w:val="00745E1B"/>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745E1B"/>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745E1B"/>
  </w:style>
  <w:style w:type="paragraph" w:styleId="Footer">
    <w:name w:val="footer"/>
    <w:basedOn w:val="Normal"/>
    <w:rsid w:val="00745E1B"/>
    <w:pPr>
      <w:tabs>
        <w:tab w:val="center" w:pos="4320"/>
        <w:tab w:val="right" w:pos="8640"/>
      </w:tabs>
    </w:pPr>
  </w:style>
  <w:style w:type="paragraph" w:styleId="Header">
    <w:name w:val="header"/>
    <w:basedOn w:val="Normal"/>
    <w:rsid w:val="00745E1B"/>
    <w:pPr>
      <w:pBdr>
        <w:bottom w:val="single" w:sz="2" w:space="1" w:color="auto"/>
      </w:pBdr>
    </w:pPr>
    <w:rPr>
      <w:rFonts w:ascii="Arial" w:hAnsi="Arial"/>
      <w:b/>
      <w:sz w:val="18"/>
    </w:rPr>
  </w:style>
  <w:style w:type="character" w:styleId="Hyperlink">
    <w:name w:val="Hyperlink"/>
    <w:rsid w:val="00745E1B"/>
    <w:rPr>
      <w:color w:val="0000FF"/>
      <w:u w:val="single"/>
    </w:rPr>
  </w:style>
  <w:style w:type="paragraph" w:styleId="Index1">
    <w:name w:val="index 1"/>
    <w:basedOn w:val="Normal"/>
    <w:next w:val="Normal"/>
    <w:semiHidden/>
    <w:rsid w:val="00745E1B"/>
    <w:pPr>
      <w:tabs>
        <w:tab w:val="right" w:leader="dot" w:pos="3960"/>
      </w:tabs>
      <w:spacing w:before="0" w:after="0"/>
      <w:ind w:left="202" w:hanging="202"/>
    </w:pPr>
    <w:rPr>
      <w:sz w:val="20"/>
    </w:rPr>
  </w:style>
  <w:style w:type="paragraph" w:styleId="Index2">
    <w:name w:val="index 2"/>
    <w:basedOn w:val="Normal"/>
    <w:next w:val="Normal"/>
    <w:semiHidden/>
    <w:rsid w:val="00745E1B"/>
    <w:pPr>
      <w:tabs>
        <w:tab w:val="right" w:leader="dot" w:pos="3960"/>
      </w:tabs>
      <w:spacing w:before="0"/>
      <w:ind w:left="490" w:hanging="245"/>
    </w:pPr>
    <w:rPr>
      <w:sz w:val="20"/>
    </w:rPr>
  </w:style>
  <w:style w:type="paragraph" w:styleId="Index3">
    <w:name w:val="index 3"/>
    <w:basedOn w:val="Normal"/>
    <w:next w:val="Normal"/>
    <w:semiHidden/>
    <w:rsid w:val="00745E1B"/>
    <w:pPr>
      <w:tabs>
        <w:tab w:val="right" w:leader="dot" w:pos="3960"/>
      </w:tabs>
      <w:ind w:left="720" w:hanging="240"/>
    </w:pPr>
    <w:rPr>
      <w:sz w:val="20"/>
    </w:rPr>
  </w:style>
  <w:style w:type="paragraph" w:styleId="IndexHeading">
    <w:name w:val="index heading"/>
    <w:basedOn w:val="Normal"/>
    <w:next w:val="Index1"/>
    <w:semiHidden/>
    <w:rsid w:val="00745E1B"/>
    <w:pPr>
      <w:spacing w:before="240" w:after="120"/>
      <w:jc w:val="center"/>
    </w:pPr>
    <w:rPr>
      <w:b/>
    </w:rPr>
  </w:style>
  <w:style w:type="paragraph" w:styleId="List">
    <w:name w:val="List"/>
    <w:basedOn w:val="Normal"/>
    <w:rsid w:val="00745E1B"/>
    <w:pPr>
      <w:numPr>
        <w:numId w:val="3"/>
      </w:numPr>
    </w:pPr>
  </w:style>
  <w:style w:type="paragraph" w:styleId="NormalIndent">
    <w:name w:val="Normal Indent"/>
    <w:basedOn w:val="Normal"/>
    <w:rsid w:val="00745E1B"/>
    <w:pPr>
      <w:ind w:left="720"/>
    </w:pPr>
  </w:style>
  <w:style w:type="paragraph" w:customStyle="1" w:styleId="NumberingExercise">
    <w:name w:val="Numbering(Exercise)"/>
    <w:basedOn w:val="Normal"/>
    <w:rsid w:val="00745E1B"/>
    <w:pPr>
      <w:numPr>
        <w:numId w:val="4"/>
      </w:numPr>
    </w:pPr>
  </w:style>
  <w:style w:type="paragraph" w:customStyle="1" w:styleId="NumberingSolutions">
    <w:name w:val="Numbering(Solutions)"/>
    <w:basedOn w:val="Normal"/>
    <w:rsid w:val="00745E1B"/>
    <w:pPr>
      <w:numPr>
        <w:numId w:val="5"/>
      </w:numPr>
    </w:pPr>
  </w:style>
  <w:style w:type="character" w:styleId="PageNumber">
    <w:name w:val="page number"/>
    <w:rsid w:val="00745E1B"/>
    <w:rPr>
      <w:rFonts w:ascii="Arial" w:hAnsi="Arial"/>
      <w:sz w:val="18"/>
    </w:rPr>
  </w:style>
  <w:style w:type="paragraph" w:customStyle="1" w:styleId="PowerPointslide">
    <w:name w:val="PowerPoint slide"/>
    <w:basedOn w:val="Normal"/>
    <w:next w:val="Normal"/>
    <w:rsid w:val="00745E1B"/>
    <w:pPr>
      <w:widowControl w:val="0"/>
      <w:spacing w:before="240" w:after="120"/>
    </w:pPr>
    <w:rPr>
      <w:kern w:val="0"/>
    </w:rPr>
  </w:style>
  <w:style w:type="paragraph" w:styleId="TOC1">
    <w:name w:val="toc 1"/>
    <w:basedOn w:val="Normal"/>
    <w:next w:val="Normal"/>
    <w:semiHidden/>
    <w:rsid w:val="00745E1B"/>
    <w:pPr>
      <w:tabs>
        <w:tab w:val="left" w:pos="432"/>
        <w:tab w:val="right" w:leader="dot" w:pos="8640"/>
      </w:tabs>
      <w:spacing w:before="360"/>
    </w:pPr>
    <w:rPr>
      <w:rFonts w:ascii="Arial" w:hAnsi="Arial"/>
      <w:b/>
    </w:rPr>
  </w:style>
  <w:style w:type="paragraph" w:styleId="TOC2">
    <w:name w:val="toc 2"/>
    <w:basedOn w:val="Normal"/>
    <w:next w:val="Normal"/>
    <w:semiHidden/>
    <w:rsid w:val="00745E1B"/>
    <w:pPr>
      <w:tabs>
        <w:tab w:val="left" w:pos="720"/>
        <w:tab w:val="right" w:leader="dot" w:pos="8640"/>
      </w:tabs>
      <w:spacing w:before="240"/>
      <w:ind w:left="200"/>
    </w:pPr>
  </w:style>
  <w:style w:type="paragraph" w:styleId="TOC3">
    <w:name w:val="toc 3"/>
    <w:basedOn w:val="Normal"/>
    <w:next w:val="Normal"/>
    <w:semiHidden/>
    <w:rsid w:val="00745E1B"/>
    <w:pPr>
      <w:tabs>
        <w:tab w:val="right" w:pos="9360"/>
      </w:tabs>
      <w:ind w:left="400"/>
    </w:pPr>
  </w:style>
  <w:style w:type="paragraph" w:styleId="TOC4">
    <w:name w:val="toc 4"/>
    <w:basedOn w:val="Normal"/>
    <w:next w:val="Normal"/>
    <w:semiHidden/>
    <w:rsid w:val="00745E1B"/>
    <w:pPr>
      <w:tabs>
        <w:tab w:val="right" w:pos="9360"/>
      </w:tabs>
      <w:ind w:left="600"/>
    </w:pPr>
  </w:style>
  <w:style w:type="paragraph" w:styleId="TOC5">
    <w:name w:val="toc 5"/>
    <w:basedOn w:val="Normal"/>
    <w:next w:val="Normal"/>
    <w:semiHidden/>
    <w:rsid w:val="00745E1B"/>
    <w:pPr>
      <w:tabs>
        <w:tab w:val="right" w:pos="9360"/>
      </w:tabs>
      <w:ind w:left="800"/>
    </w:pPr>
  </w:style>
  <w:style w:type="paragraph" w:styleId="TOC6">
    <w:name w:val="toc 6"/>
    <w:basedOn w:val="Normal"/>
    <w:next w:val="Normal"/>
    <w:semiHidden/>
    <w:rsid w:val="00745E1B"/>
    <w:pPr>
      <w:tabs>
        <w:tab w:val="right" w:pos="9360"/>
      </w:tabs>
      <w:ind w:left="1000"/>
    </w:pPr>
  </w:style>
  <w:style w:type="paragraph" w:styleId="TOC7">
    <w:name w:val="toc 7"/>
    <w:basedOn w:val="TOC1"/>
    <w:next w:val="Normal"/>
    <w:rsid w:val="00745E1B"/>
    <w:pPr>
      <w:tabs>
        <w:tab w:val="clear" w:pos="432"/>
        <w:tab w:val="clear" w:pos="8640"/>
        <w:tab w:val="left" w:pos="576"/>
        <w:tab w:val="right" w:leader="dot" w:pos="9360"/>
      </w:tabs>
      <w:ind w:left="576" w:right="720" w:hanging="576"/>
    </w:pPr>
  </w:style>
  <w:style w:type="paragraph" w:styleId="TOC8">
    <w:name w:val="toc 8"/>
    <w:basedOn w:val="Normal"/>
    <w:next w:val="Normal"/>
    <w:rsid w:val="00745E1B"/>
    <w:pPr>
      <w:tabs>
        <w:tab w:val="right" w:leader="dot" w:pos="9360"/>
      </w:tabs>
      <w:ind w:left="1080" w:right="720"/>
    </w:pPr>
    <w:rPr>
      <w:rFonts w:ascii="Arial" w:hAnsi="Arial"/>
      <w:sz w:val="20"/>
    </w:rPr>
  </w:style>
  <w:style w:type="paragraph" w:styleId="TOC9">
    <w:name w:val="toc 9"/>
    <w:basedOn w:val="TOC8"/>
    <w:next w:val="Normal"/>
    <w:rsid w:val="00745E1B"/>
    <w:pPr>
      <w:numPr>
        <w:numId w:val="8"/>
      </w:numPr>
    </w:pPr>
  </w:style>
  <w:style w:type="paragraph" w:customStyle="1" w:styleId="Topic">
    <w:name w:val="Topic"/>
    <w:basedOn w:val="Normal"/>
    <w:next w:val="Normal"/>
    <w:rsid w:val="00FD1DD0"/>
    <w:pPr>
      <w:keepNext/>
      <w:spacing w:before="480" w:after="160"/>
    </w:pPr>
    <w:rPr>
      <w:rFonts w:ascii="Arial" w:hAnsi="Arial"/>
      <w:b/>
      <w:kern w:val="28"/>
      <w:sz w:val="28"/>
    </w:rPr>
  </w:style>
  <w:style w:type="character" w:customStyle="1" w:styleId="RefTitle">
    <w:name w:val="RefTitle"/>
    <w:rsid w:val="00FD1DD0"/>
    <w:rPr>
      <w:i/>
    </w:rPr>
  </w:style>
  <w:style w:type="paragraph" w:styleId="DocumentMap">
    <w:name w:val="Document Map"/>
    <w:basedOn w:val="Normal"/>
    <w:semiHidden/>
    <w:rsid w:val="00FD1DD0"/>
    <w:pPr>
      <w:shd w:val="clear" w:color="auto" w:fill="000080"/>
    </w:pPr>
    <w:rPr>
      <w:rFonts w:ascii="Tahoma" w:hAnsi="Tahoma" w:cs="Tahoma"/>
    </w:rPr>
  </w:style>
  <w:style w:type="character" w:styleId="FollowedHyperlink">
    <w:name w:val="FollowedHyperlink"/>
    <w:rsid w:val="00FD1DD0"/>
    <w:rPr>
      <w:color w:val="800080"/>
      <w:u w:val="single"/>
    </w:rPr>
  </w:style>
  <w:style w:type="paragraph" w:styleId="BalloonText">
    <w:name w:val="Balloon Text"/>
    <w:basedOn w:val="Normal"/>
    <w:semiHidden/>
    <w:rsid w:val="00CB71F4"/>
    <w:rPr>
      <w:rFonts w:ascii="Tahoma" w:hAnsi="Tahoma" w:cs="Tahoma"/>
      <w:sz w:val="16"/>
      <w:szCs w:val="16"/>
    </w:rPr>
  </w:style>
  <w:style w:type="paragraph" w:customStyle="1" w:styleId="HeadingDemo">
    <w:name w:val="Heading Demo"/>
    <w:basedOn w:val="Heading3"/>
    <w:next w:val="Normal"/>
    <w:rsid w:val="00745E1B"/>
  </w:style>
  <w:style w:type="paragraph" w:customStyle="1" w:styleId="HeadingExercise">
    <w:name w:val="Heading Exercise"/>
    <w:basedOn w:val="Heading3"/>
    <w:next w:val="Normal"/>
    <w:rsid w:val="00745E1B"/>
  </w:style>
  <w:style w:type="paragraph" w:customStyle="1" w:styleId="HeadingSolution">
    <w:name w:val="Heading Solution"/>
    <w:basedOn w:val="Heading3"/>
    <w:next w:val="Normal"/>
    <w:rsid w:val="00745E1B"/>
    <w:pPr>
      <w:spacing w:before="120"/>
    </w:pPr>
  </w:style>
  <w:style w:type="paragraph" w:customStyle="1" w:styleId="HeadingExerciseLevel">
    <w:name w:val="Heading Exercise Level"/>
    <w:basedOn w:val="Heading4"/>
    <w:next w:val="Normal"/>
    <w:rsid w:val="00745E1B"/>
  </w:style>
  <w:style w:type="character" w:customStyle="1" w:styleId="cite">
    <w:name w:val="cite"/>
    <w:basedOn w:val="DefaultParagraphFont"/>
    <w:rsid w:val="00F96C76"/>
  </w:style>
  <w:style w:type="character" w:customStyle="1" w:styleId="variable1">
    <w:name w:val="variable1"/>
    <w:rsid w:val="00F96C76"/>
    <w:rPr>
      <w:i/>
      <w:iCs/>
    </w:rPr>
  </w:style>
  <w:style w:type="paragraph" w:styleId="NormalWeb">
    <w:name w:val="Normal (Web)"/>
    <w:basedOn w:val="Normal"/>
    <w:rsid w:val="005E6272"/>
    <w:pPr>
      <w:spacing w:before="100" w:beforeAutospacing="1" w:after="100" w:afterAutospacing="1"/>
    </w:pPr>
    <w:rPr>
      <w:kern w:val="0"/>
      <w:sz w:val="24"/>
      <w:szCs w:val="24"/>
    </w:rPr>
  </w:style>
  <w:style w:type="character" w:styleId="Strong">
    <w:name w:val="Strong"/>
    <w:qFormat/>
    <w:rsid w:val="005E6272"/>
    <w:rPr>
      <w:b/>
      <w:bCs/>
    </w:rPr>
  </w:style>
  <w:style w:type="paragraph" w:styleId="NoSpacing">
    <w:name w:val="No Spacing"/>
    <w:uiPriority w:val="1"/>
    <w:qFormat/>
    <w:rsid w:val="00EA42C3"/>
    <w:rPr>
      <w:kern w:val="1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1310">
      <w:bodyDiv w:val="1"/>
      <w:marLeft w:val="160"/>
      <w:marRight w:val="160"/>
      <w:marTop w:val="0"/>
      <w:marBottom w:val="0"/>
      <w:divBdr>
        <w:top w:val="none" w:sz="0" w:space="0" w:color="auto"/>
        <w:left w:val="none" w:sz="0" w:space="0" w:color="auto"/>
        <w:bottom w:val="none" w:sz="0" w:space="0" w:color="auto"/>
        <w:right w:val="none" w:sz="0" w:space="0" w:color="auto"/>
      </w:divBdr>
    </w:div>
    <w:div w:id="32314933">
      <w:bodyDiv w:val="1"/>
      <w:marLeft w:val="160"/>
      <w:marRight w:val="160"/>
      <w:marTop w:val="0"/>
      <w:marBottom w:val="0"/>
      <w:divBdr>
        <w:top w:val="none" w:sz="0" w:space="0" w:color="auto"/>
        <w:left w:val="none" w:sz="0" w:space="0" w:color="auto"/>
        <w:bottom w:val="none" w:sz="0" w:space="0" w:color="auto"/>
        <w:right w:val="none" w:sz="0" w:space="0" w:color="auto"/>
      </w:divBdr>
    </w:div>
    <w:div w:id="43993921">
      <w:bodyDiv w:val="1"/>
      <w:marLeft w:val="160"/>
      <w:marRight w:val="160"/>
      <w:marTop w:val="0"/>
      <w:marBottom w:val="0"/>
      <w:divBdr>
        <w:top w:val="none" w:sz="0" w:space="0" w:color="auto"/>
        <w:left w:val="none" w:sz="0" w:space="0" w:color="auto"/>
        <w:bottom w:val="none" w:sz="0" w:space="0" w:color="auto"/>
        <w:right w:val="none" w:sz="0" w:space="0" w:color="auto"/>
      </w:divBdr>
    </w:div>
    <w:div w:id="55205622">
      <w:bodyDiv w:val="1"/>
      <w:marLeft w:val="120"/>
      <w:marRight w:val="120"/>
      <w:marTop w:val="0"/>
      <w:marBottom w:val="0"/>
      <w:divBdr>
        <w:top w:val="none" w:sz="0" w:space="0" w:color="auto"/>
        <w:left w:val="none" w:sz="0" w:space="0" w:color="auto"/>
        <w:bottom w:val="none" w:sz="0" w:space="0" w:color="auto"/>
        <w:right w:val="none" w:sz="0" w:space="0" w:color="auto"/>
      </w:divBdr>
    </w:div>
    <w:div w:id="67848479">
      <w:bodyDiv w:val="1"/>
      <w:marLeft w:val="160"/>
      <w:marRight w:val="160"/>
      <w:marTop w:val="0"/>
      <w:marBottom w:val="0"/>
      <w:divBdr>
        <w:top w:val="none" w:sz="0" w:space="0" w:color="auto"/>
        <w:left w:val="none" w:sz="0" w:space="0" w:color="auto"/>
        <w:bottom w:val="none" w:sz="0" w:space="0" w:color="auto"/>
        <w:right w:val="none" w:sz="0" w:space="0" w:color="auto"/>
      </w:divBdr>
    </w:div>
    <w:div w:id="135805908">
      <w:bodyDiv w:val="1"/>
      <w:marLeft w:val="120"/>
      <w:marRight w:val="120"/>
      <w:marTop w:val="0"/>
      <w:marBottom w:val="0"/>
      <w:divBdr>
        <w:top w:val="none" w:sz="0" w:space="0" w:color="auto"/>
        <w:left w:val="none" w:sz="0" w:space="0" w:color="auto"/>
        <w:bottom w:val="none" w:sz="0" w:space="0" w:color="auto"/>
        <w:right w:val="none" w:sz="0" w:space="0" w:color="auto"/>
      </w:divBdr>
    </w:div>
    <w:div w:id="144321198">
      <w:bodyDiv w:val="1"/>
      <w:marLeft w:val="160"/>
      <w:marRight w:val="160"/>
      <w:marTop w:val="0"/>
      <w:marBottom w:val="0"/>
      <w:divBdr>
        <w:top w:val="none" w:sz="0" w:space="0" w:color="auto"/>
        <w:left w:val="none" w:sz="0" w:space="0" w:color="auto"/>
        <w:bottom w:val="none" w:sz="0" w:space="0" w:color="auto"/>
        <w:right w:val="none" w:sz="0" w:space="0" w:color="auto"/>
      </w:divBdr>
    </w:div>
    <w:div w:id="193085103">
      <w:bodyDiv w:val="1"/>
      <w:marLeft w:val="160"/>
      <w:marRight w:val="160"/>
      <w:marTop w:val="0"/>
      <w:marBottom w:val="0"/>
      <w:divBdr>
        <w:top w:val="none" w:sz="0" w:space="0" w:color="auto"/>
        <w:left w:val="none" w:sz="0" w:space="0" w:color="auto"/>
        <w:bottom w:val="none" w:sz="0" w:space="0" w:color="auto"/>
        <w:right w:val="none" w:sz="0" w:space="0" w:color="auto"/>
      </w:divBdr>
    </w:div>
    <w:div w:id="219562157">
      <w:bodyDiv w:val="1"/>
      <w:marLeft w:val="160"/>
      <w:marRight w:val="160"/>
      <w:marTop w:val="0"/>
      <w:marBottom w:val="0"/>
      <w:divBdr>
        <w:top w:val="none" w:sz="0" w:space="0" w:color="auto"/>
        <w:left w:val="none" w:sz="0" w:space="0" w:color="auto"/>
        <w:bottom w:val="none" w:sz="0" w:space="0" w:color="auto"/>
        <w:right w:val="none" w:sz="0" w:space="0" w:color="auto"/>
      </w:divBdr>
    </w:div>
    <w:div w:id="250050833">
      <w:bodyDiv w:val="1"/>
      <w:marLeft w:val="160"/>
      <w:marRight w:val="160"/>
      <w:marTop w:val="0"/>
      <w:marBottom w:val="0"/>
      <w:divBdr>
        <w:top w:val="none" w:sz="0" w:space="0" w:color="auto"/>
        <w:left w:val="none" w:sz="0" w:space="0" w:color="auto"/>
        <w:bottom w:val="none" w:sz="0" w:space="0" w:color="auto"/>
        <w:right w:val="none" w:sz="0" w:space="0" w:color="auto"/>
      </w:divBdr>
    </w:div>
    <w:div w:id="273438201">
      <w:bodyDiv w:val="1"/>
      <w:marLeft w:val="160"/>
      <w:marRight w:val="160"/>
      <w:marTop w:val="0"/>
      <w:marBottom w:val="0"/>
      <w:divBdr>
        <w:top w:val="none" w:sz="0" w:space="0" w:color="auto"/>
        <w:left w:val="none" w:sz="0" w:space="0" w:color="auto"/>
        <w:bottom w:val="none" w:sz="0" w:space="0" w:color="auto"/>
        <w:right w:val="none" w:sz="0" w:space="0" w:color="auto"/>
      </w:divBdr>
    </w:div>
    <w:div w:id="290668241">
      <w:bodyDiv w:val="1"/>
      <w:marLeft w:val="120"/>
      <w:marRight w:val="120"/>
      <w:marTop w:val="0"/>
      <w:marBottom w:val="0"/>
      <w:divBdr>
        <w:top w:val="none" w:sz="0" w:space="0" w:color="auto"/>
        <w:left w:val="none" w:sz="0" w:space="0" w:color="auto"/>
        <w:bottom w:val="none" w:sz="0" w:space="0" w:color="auto"/>
        <w:right w:val="none" w:sz="0" w:space="0" w:color="auto"/>
      </w:divBdr>
    </w:div>
    <w:div w:id="298649827">
      <w:bodyDiv w:val="1"/>
      <w:marLeft w:val="160"/>
      <w:marRight w:val="160"/>
      <w:marTop w:val="0"/>
      <w:marBottom w:val="0"/>
      <w:divBdr>
        <w:top w:val="none" w:sz="0" w:space="0" w:color="auto"/>
        <w:left w:val="none" w:sz="0" w:space="0" w:color="auto"/>
        <w:bottom w:val="none" w:sz="0" w:space="0" w:color="auto"/>
        <w:right w:val="none" w:sz="0" w:space="0" w:color="auto"/>
      </w:divBdr>
    </w:div>
    <w:div w:id="367488561">
      <w:bodyDiv w:val="1"/>
      <w:marLeft w:val="160"/>
      <w:marRight w:val="160"/>
      <w:marTop w:val="0"/>
      <w:marBottom w:val="0"/>
      <w:divBdr>
        <w:top w:val="none" w:sz="0" w:space="0" w:color="auto"/>
        <w:left w:val="none" w:sz="0" w:space="0" w:color="auto"/>
        <w:bottom w:val="none" w:sz="0" w:space="0" w:color="auto"/>
        <w:right w:val="none" w:sz="0" w:space="0" w:color="auto"/>
      </w:divBdr>
    </w:div>
    <w:div w:id="383066443">
      <w:bodyDiv w:val="1"/>
      <w:marLeft w:val="160"/>
      <w:marRight w:val="160"/>
      <w:marTop w:val="0"/>
      <w:marBottom w:val="0"/>
      <w:divBdr>
        <w:top w:val="none" w:sz="0" w:space="0" w:color="auto"/>
        <w:left w:val="none" w:sz="0" w:space="0" w:color="auto"/>
        <w:bottom w:val="none" w:sz="0" w:space="0" w:color="auto"/>
        <w:right w:val="none" w:sz="0" w:space="0" w:color="auto"/>
      </w:divBdr>
    </w:div>
    <w:div w:id="455368483">
      <w:bodyDiv w:val="1"/>
      <w:marLeft w:val="120"/>
      <w:marRight w:val="120"/>
      <w:marTop w:val="0"/>
      <w:marBottom w:val="0"/>
      <w:divBdr>
        <w:top w:val="none" w:sz="0" w:space="0" w:color="auto"/>
        <w:left w:val="none" w:sz="0" w:space="0" w:color="auto"/>
        <w:bottom w:val="none" w:sz="0" w:space="0" w:color="auto"/>
        <w:right w:val="none" w:sz="0" w:space="0" w:color="auto"/>
      </w:divBdr>
    </w:div>
    <w:div w:id="455685689">
      <w:bodyDiv w:val="1"/>
      <w:marLeft w:val="160"/>
      <w:marRight w:val="160"/>
      <w:marTop w:val="0"/>
      <w:marBottom w:val="0"/>
      <w:divBdr>
        <w:top w:val="none" w:sz="0" w:space="0" w:color="auto"/>
        <w:left w:val="none" w:sz="0" w:space="0" w:color="auto"/>
        <w:bottom w:val="none" w:sz="0" w:space="0" w:color="auto"/>
        <w:right w:val="none" w:sz="0" w:space="0" w:color="auto"/>
      </w:divBdr>
    </w:div>
    <w:div w:id="459810753">
      <w:bodyDiv w:val="1"/>
      <w:marLeft w:val="160"/>
      <w:marRight w:val="160"/>
      <w:marTop w:val="0"/>
      <w:marBottom w:val="0"/>
      <w:divBdr>
        <w:top w:val="none" w:sz="0" w:space="0" w:color="auto"/>
        <w:left w:val="none" w:sz="0" w:space="0" w:color="auto"/>
        <w:bottom w:val="none" w:sz="0" w:space="0" w:color="auto"/>
        <w:right w:val="none" w:sz="0" w:space="0" w:color="auto"/>
      </w:divBdr>
    </w:div>
    <w:div w:id="524055227">
      <w:bodyDiv w:val="1"/>
      <w:marLeft w:val="120"/>
      <w:marRight w:val="120"/>
      <w:marTop w:val="0"/>
      <w:marBottom w:val="0"/>
      <w:divBdr>
        <w:top w:val="none" w:sz="0" w:space="0" w:color="auto"/>
        <w:left w:val="none" w:sz="0" w:space="0" w:color="auto"/>
        <w:bottom w:val="none" w:sz="0" w:space="0" w:color="auto"/>
        <w:right w:val="none" w:sz="0" w:space="0" w:color="auto"/>
      </w:divBdr>
    </w:div>
    <w:div w:id="535505012">
      <w:bodyDiv w:val="1"/>
      <w:marLeft w:val="160"/>
      <w:marRight w:val="160"/>
      <w:marTop w:val="0"/>
      <w:marBottom w:val="0"/>
      <w:divBdr>
        <w:top w:val="none" w:sz="0" w:space="0" w:color="auto"/>
        <w:left w:val="none" w:sz="0" w:space="0" w:color="auto"/>
        <w:bottom w:val="none" w:sz="0" w:space="0" w:color="auto"/>
        <w:right w:val="none" w:sz="0" w:space="0" w:color="auto"/>
      </w:divBdr>
    </w:div>
    <w:div w:id="551043037">
      <w:bodyDiv w:val="1"/>
      <w:marLeft w:val="160"/>
      <w:marRight w:val="160"/>
      <w:marTop w:val="0"/>
      <w:marBottom w:val="0"/>
      <w:divBdr>
        <w:top w:val="none" w:sz="0" w:space="0" w:color="auto"/>
        <w:left w:val="none" w:sz="0" w:space="0" w:color="auto"/>
        <w:bottom w:val="none" w:sz="0" w:space="0" w:color="auto"/>
        <w:right w:val="none" w:sz="0" w:space="0" w:color="auto"/>
      </w:divBdr>
    </w:div>
    <w:div w:id="582686616">
      <w:bodyDiv w:val="1"/>
      <w:marLeft w:val="160"/>
      <w:marRight w:val="160"/>
      <w:marTop w:val="0"/>
      <w:marBottom w:val="0"/>
      <w:divBdr>
        <w:top w:val="none" w:sz="0" w:space="0" w:color="auto"/>
        <w:left w:val="none" w:sz="0" w:space="0" w:color="auto"/>
        <w:bottom w:val="none" w:sz="0" w:space="0" w:color="auto"/>
        <w:right w:val="none" w:sz="0" w:space="0" w:color="auto"/>
      </w:divBdr>
    </w:div>
    <w:div w:id="603197704">
      <w:bodyDiv w:val="1"/>
      <w:marLeft w:val="0"/>
      <w:marRight w:val="0"/>
      <w:marTop w:val="0"/>
      <w:marBottom w:val="0"/>
      <w:divBdr>
        <w:top w:val="none" w:sz="0" w:space="0" w:color="auto"/>
        <w:left w:val="none" w:sz="0" w:space="0" w:color="auto"/>
        <w:bottom w:val="none" w:sz="0" w:space="0" w:color="auto"/>
        <w:right w:val="none" w:sz="0" w:space="0" w:color="auto"/>
      </w:divBdr>
      <w:divsChild>
        <w:div w:id="861548238">
          <w:marLeft w:val="0"/>
          <w:marRight w:val="0"/>
          <w:marTop w:val="0"/>
          <w:marBottom w:val="0"/>
          <w:divBdr>
            <w:top w:val="none" w:sz="0" w:space="0" w:color="auto"/>
            <w:left w:val="none" w:sz="0" w:space="0" w:color="auto"/>
            <w:bottom w:val="none" w:sz="0" w:space="0" w:color="auto"/>
            <w:right w:val="none" w:sz="0" w:space="0" w:color="auto"/>
          </w:divBdr>
          <w:divsChild>
            <w:div w:id="278685311">
              <w:marLeft w:val="0"/>
              <w:marRight w:val="0"/>
              <w:marTop w:val="0"/>
              <w:marBottom w:val="0"/>
              <w:divBdr>
                <w:top w:val="none" w:sz="0" w:space="0" w:color="auto"/>
                <w:left w:val="none" w:sz="0" w:space="0" w:color="auto"/>
                <w:bottom w:val="none" w:sz="0" w:space="0" w:color="auto"/>
                <w:right w:val="none" w:sz="0" w:space="0" w:color="auto"/>
              </w:divBdr>
            </w:div>
            <w:div w:id="15388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0059">
      <w:bodyDiv w:val="1"/>
      <w:marLeft w:val="160"/>
      <w:marRight w:val="160"/>
      <w:marTop w:val="0"/>
      <w:marBottom w:val="0"/>
      <w:divBdr>
        <w:top w:val="none" w:sz="0" w:space="0" w:color="auto"/>
        <w:left w:val="none" w:sz="0" w:space="0" w:color="auto"/>
        <w:bottom w:val="none" w:sz="0" w:space="0" w:color="auto"/>
        <w:right w:val="none" w:sz="0" w:space="0" w:color="auto"/>
      </w:divBdr>
    </w:div>
    <w:div w:id="624778500">
      <w:bodyDiv w:val="1"/>
      <w:marLeft w:val="160"/>
      <w:marRight w:val="160"/>
      <w:marTop w:val="0"/>
      <w:marBottom w:val="0"/>
      <w:divBdr>
        <w:top w:val="none" w:sz="0" w:space="0" w:color="auto"/>
        <w:left w:val="none" w:sz="0" w:space="0" w:color="auto"/>
        <w:bottom w:val="none" w:sz="0" w:space="0" w:color="auto"/>
        <w:right w:val="none" w:sz="0" w:space="0" w:color="auto"/>
      </w:divBdr>
    </w:div>
    <w:div w:id="629212602">
      <w:bodyDiv w:val="1"/>
      <w:marLeft w:val="120"/>
      <w:marRight w:val="120"/>
      <w:marTop w:val="0"/>
      <w:marBottom w:val="0"/>
      <w:divBdr>
        <w:top w:val="none" w:sz="0" w:space="0" w:color="auto"/>
        <w:left w:val="none" w:sz="0" w:space="0" w:color="auto"/>
        <w:bottom w:val="none" w:sz="0" w:space="0" w:color="auto"/>
        <w:right w:val="none" w:sz="0" w:space="0" w:color="auto"/>
      </w:divBdr>
    </w:div>
    <w:div w:id="645624768">
      <w:bodyDiv w:val="1"/>
      <w:marLeft w:val="160"/>
      <w:marRight w:val="160"/>
      <w:marTop w:val="0"/>
      <w:marBottom w:val="0"/>
      <w:divBdr>
        <w:top w:val="none" w:sz="0" w:space="0" w:color="auto"/>
        <w:left w:val="none" w:sz="0" w:space="0" w:color="auto"/>
        <w:bottom w:val="none" w:sz="0" w:space="0" w:color="auto"/>
        <w:right w:val="none" w:sz="0" w:space="0" w:color="auto"/>
      </w:divBdr>
    </w:div>
    <w:div w:id="710036262">
      <w:bodyDiv w:val="1"/>
      <w:marLeft w:val="120"/>
      <w:marRight w:val="120"/>
      <w:marTop w:val="0"/>
      <w:marBottom w:val="0"/>
      <w:divBdr>
        <w:top w:val="none" w:sz="0" w:space="0" w:color="auto"/>
        <w:left w:val="none" w:sz="0" w:space="0" w:color="auto"/>
        <w:bottom w:val="none" w:sz="0" w:space="0" w:color="auto"/>
        <w:right w:val="none" w:sz="0" w:space="0" w:color="auto"/>
      </w:divBdr>
    </w:div>
    <w:div w:id="758332896">
      <w:bodyDiv w:val="1"/>
      <w:marLeft w:val="120"/>
      <w:marRight w:val="120"/>
      <w:marTop w:val="0"/>
      <w:marBottom w:val="0"/>
      <w:divBdr>
        <w:top w:val="none" w:sz="0" w:space="0" w:color="auto"/>
        <w:left w:val="none" w:sz="0" w:space="0" w:color="auto"/>
        <w:bottom w:val="none" w:sz="0" w:space="0" w:color="auto"/>
        <w:right w:val="none" w:sz="0" w:space="0" w:color="auto"/>
      </w:divBdr>
    </w:div>
    <w:div w:id="772745414">
      <w:bodyDiv w:val="1"/>
      <w:marLeft w:val="120"/>
      <w:marRight w:val="120"/>
      <w:marTop w:val="0"/>
      <w:marBottom w:val="0"/>
      <w:divBdr>
        <w:top w:val="none" w:sz="0" w:space="0" w:color="auto"/>
        <w:left w:val="none" w:sz="0" w:space="0" w:color="auto"/>
        <w:bottom w:val="none" w:sz="0" w:space="0" w:color="auto"/>
        <w:right w:val="none" w:sz="0" w:space="0" w:color="auto"/>
      </w:divBdr>
    </w:div>
    <w:div w:id="842354921">
      <w:bodyDiv w:val="1"/>
      <w:marLeft w:val="160"/>
      <w:marRight w:val="160"/>
      <w:marTop w:val="0"/>
      <w:marBottom w:val="0"/>
      <w:divBdr>
        <w:top w:val="none" w:sz="0" w:space="0" w:color="auto"/>
        <w:left w:val="none" w:sz="0" w:space="0" w:color="auto"/>
        <w:bottom w:val="none" w:sz="0" w:space="0" w:color="auto"/>
        <w:right w:val="none" w:sz="0" w:space="0" w:color="auto"/>
      </w:divBdr>
    </w:div>
    <w:div w:id="930166824">
      <w:bodyDiv w:val="1"/>
      <w:marLeft w:val="120"/>
      <w:marRight w:val="120"/>
      <w:marTop w:val="0"/>
      <w:marBottom w:val="0"/>
      <w:divBdr>
        <w:top w:val="none" w:sz="0" w:space="0" w:color="auto"/>
        <w:left w:val="none" w:sz="0" w:space="0" w:color="auto"/>
        <w:bottom w:val="none" w:sz="0" w:space="0" w:color="auto"/>
        <w:right w:val="none" w:sz="0" w:space="0" w:color="auto"/>
      </w:divBdr>
    </w:div>
    <w:div w:id="1008556108">
      <w:bodyDiv w:val="1"/>
      <w:marLeft w:val="160"/>
      <w:marRight w:val="160"/>
      <w:marTop w:val="0"/>
      <w:marBottom w:val="0"/>
      <w:divBdr>
        <w:top w:val="none" w:sz="0" w:space="0" w:color="auto"/>
        <w:left w:val="none" w:sz="0" w:space="0" w:color="auto"/>
        <w:bottom w:val="none" w:sz="0" w:space="0" w:color="auto"/>
        <w:right w:val="none" w:sz="0" w:space="0" w:color="auto"/>
      </w:divBdr>
    </w:div>
    <w:div w:id="1044066063">
      <w:bodyDiv w:val="1"/>
      <w:marLeft w:val="160"/>
      <w:marRight w:val="160"/>
      <w:marTop w:val="0"/>
      <w:marBottom w:val="0"/>
      <w:divBdr>
        <w:top w:val="none" w:sz="0" w:space="0" w:color="auto"/>
        <w:left w:val="none" w:sz="0" w:space="0" w:color="auto"/>
        <w:bottom w:val="none" w:sz="0" w:space="0" w:color="auto"/>
        <w:right w:val="none" w:sz="0" w:space="0" w:color="auto"/>
      </w:divBdr>
    </w:div>
    <w:div w:id="1084230605">
      <w:bodyDiv w:val="1"/>
      <w:marLeft w:val="160"/>
      <w:marRight w:val="160"/>
      <w:marTop w:val="0"/>
      <w:marBottom w:val="0"/>
      <w:divBdr>
        <w:top w:val="none" w:sz="0" w:space="0" w:color="auto"/>
        <w:left w:val="none" w:sz="0" w:space="0" w:color="auto"/>
        <w:bottom w:val="none" w:sz="0" w:space="0" w:color="auto"/>
        <w:right w:val="none" w:sz="0" w:space="0" w:color="auto"/>
      </w:divBdr>
    </w:div>
    <w:div w:id="1089034612">
      <w:bodyDiv w:val="1"/>
      <w:marLeft w:val="120"/>
      <w:marRight w:val="120"/>
      <w:marTop w:val="0"/>
      <w:marBottom w:val="0"/>
      <w:divBdr>
        <w:top w:val="none" w:sz="0" w:space="0" w:color="auto"/>
        <w:left w:val="none" w:sz="0" w:space="0" w:color="auto"/>
        <w:bottom w:val="none" w:sz="0" w:space="0" w:color="auto"/>
        <w:right w:val="none" w:sz="0" w:space="0" w:color="auto"/>
      </w:divBdr>
    </w:div>
    <w:div w:id="1089470978">
      <w:bodyDiv w:val="1"/>
      <w:marLeft w:val="0"/>
      <w:marRight w:val="0"/>
      <w:marTop w:val="0"/>
      <w:marBottom w:val="0"/>
      <w:divBdr>
        <w:top w:val="none" w:sz="0" w:space="0" w:color="auto"/>
        <w:left w:val="none" w:sz="0" w:space="0" w:color="auto"/>
        <w:bottom w:val="none" w:sz="0" w:space="0" w:color="auto"/>
        <w:right w:val="none" w:sz="0" w:space="0" w:color="auto"/>
      </w:divBdr>
      <w:divsChild>
        <w:div w:id="1240209088">
          <w:marLeft w:val="0"/>
          <w:marRight w:val="0"/>
          <w:marTop w:val="0"/>
          <w:marBottom w:val="0"/>
          <w:divBdr>
            <w:top w:val="none" w:sz="0" w:space="0" w:color="auto"/>
            <w:left w:val="none" w:sz="0" w:space="0" w:color="auto"/>
            <w:bottom w:val="none" w:sz="0" w:space="0" w:color="auto"/>
            <w:right w:val="none" w:sz="0" w:space="0" w:color="auto"/>
          </w:divBdr>
          <w:divsChild>
            <w:div w:id="904683475">
              <w:marLeft w:val="0"/>
              <w:marRight w:val="0"/>
              <w:marTop w:val="0"/>
              <w:marBottom w:val="0"/>
              <w:divBdr>
                <w:top w:val="none" w:sz="0" w:space="0" w:color="auto"/>
                <w:left w:val="none" w:sz="0" w:space="0" w:color="auto"/>
                <w:bottom w:val="none" w:sz="0" w:space="0" w:color="auto"/>
                <w:right w:val="none" w:sz="0" w:space="0" w:color="auto"/>
              </w:divBdr>
            </w:div>
            <w:div w:id="13120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05037">
      <w:bodyDiv w:val="1"/>
      <w:marLeft w:val="160"/>
      <w:marRight w:val="160"/>
      <w:marTop w:val="0"/>
      <w:marBottom w:val="0"/>
      <w:divBdr>
        <w:top w:val="none" w:sz="0" w:space="0" w:color="auto"/>
        <w:left w:val="none" w:sz="0" w:space="0" w:color="auto"/>
        <w:bottom w:val="none" w:sz="0" w:space="0" w:color="auto"/>
        <w:right w:val="none" w:sz="0" w:space="0" w:color="auto"/>
      </w:divBdr>
    </w:div>
    <w:div w:id="1119421537">
      <w:bodyDiv w:val="1"/>
      <w:marLeft w:val="160"/>
      <w:marRight w:val="160"/>
      <w:marTop w:val="0"/>
      <w:marBottom w:val="0"/>
      <w:divBdr>
        <w:top w:val="none" w:sz="0" w:space="0" w:color="auto"/>
        <w:left w:val="none" w:sz="0" w:space="0" w:color="auto"/>
        <w:bottom w:val="none" w:sz="0" w:space="0" w:color="auto"/>
        <w:right w:val="none" w:sz="0" w:space="0" w:color="auto"/>
      </w:divBdr>
    </w:div>
    <w:div w:id="1122115818">
      <w:bodyDiv w:val="1"/>
      <w:marLeft w:val="160"/>
      <w:marRight w:val="160"/>
      <w:marTop w:val="0"/>
      <w:marBottom w:val="0"/>
      <w:divBdr>
        <w:top w:val="none" w:sz="0" w:space="0" w:color="auto"/>
        <w:left w:val="none" w:sz="0" w:space="0" w:color="auto"/>
        <w:bottom w:val="none" w:sz="0" w:space="0" w:color="auto"/>
        <w:right w:val="none" w:sz="0" w:space="0" w:color="auto"/>
      </w:divBdr>
    </w:div>
    <w:div w:id="1179542832">
      <w:bodyDiv w:val="1"/>
      <w:marLeft w:val="120"/>
      <w:marRight w:val="120"/>
      <w:marTop w:val="0"/>
      <w:marBottom w:val="0"/>
      <w:divBdr>
        <w:top w:val="none" w:sz="0" w:space="0" w:color="auto"/>
        <w:left w:val="none" w:sz="0" w:space="0" w:color="auto"/>
        <w:bottom w:val="none" w:sz="0" w:space="0" w:color="auto"/>
        <w:right w:val="none" w:sz="0" w:space="0" w:color="auto"/>
      </w:divBdr>
    </w:div>
    <w:div w:id="1190335361">
      <w:bodyDiv w:val="1"/>
      <w:marLeft w:val="160"/>
      <w:marRight w:val="160"/>
      <w:marTop w:val="0"/>
      <w:marBottom w:val="0"/>
      <w:divBdr>
        <w:top w:val="none" w:sz="0" w:space="0" w:color="auto"/>
        <w:left w:val="none" w:sz="0" w:space="0" w:color="auto"/>
        <w:bottom w:val="none" w:sz="0" w:space="0" w:color="auto"/>
        <w:right w:val="none" w:sz="0" w:space="0" w:color="auto"/>
      </w:divBdr>
    </w:div>
    <w:div w:id="1250500223">
      <w:bodyDiv w:val="1"/>
      <w:marLeft w:val="160"/>
      <w:marRight w:val="160"/>
      <w:marTop w:val="0"/>
      <w:marBottom w:val="0"/>
      <w:divBdr>
        <w:top w:val="none" w:sz="0" w:space="0" w:color="auto"/>
        <w:left w:val="none" w:sz="0" w:space="0" w:color="auto"/>
        <w:bottom w:val="none" w:sz="0" w:space="0" w:color="auto"/>
        <w:right w:val="none" w:sz="0" w:space="0" w:color="auto"/>
      </w:divBdr>
    </w:div>
    <w:div w:id="1255935691">
      <w:bodyDiv w:val="1"/>
      <w:marLeft w:val="160"/>
      <w:marRight w:val="160"/>
      <w:marTop w:val="0"/>
      <w:marBottom w:val="0"/>
      <w:divBdr>
        <w:top w:val="none" w:sz="0" w:space="0" w:color="auto"/>
        <w:left w:val="none" w:sz="0" w:space="0" w:color="auto"/>
        <w:bottom w:val="none" w:sz="0" w:space="0" w:color="auto"/>
        <w:right w:val="none" w:sz="0" w:space="0" w:color="auto"/>
      </w:divBdr>
    </w:div>
    <w:div w:id="1302424385">
      <w:bodyDiv w:val="1"/>
      <w:marLeft w:val="160"/>
      <w:marRight w:val="160"/>
      <w:marTop w:val="0"/>
      <w:marBottom w:val="0"/>
      <w:divBdr>
        <w:top w:val="none" w:sz="0" w:space="0" w:color="auto"/>
        <w:left w:val="none" w:sz="0" w:space="0" w:color="auto"/>
        <w:bottom w:val="none" w:sz="0" w:space="0" w:color="auto"/>
        <w:right w:val="none" w:sz="0" w:space="0" w:color="auto"/>
      </w:divBdr>
    </w:div>
    <w:div w:id="1343781116">
      <w:bodyDiv w:val="1"/>
      <w:marLeft w:val="0"/>
      <w:marRight w:val="0"/>
      <w:marTop w:val="0"/>
      <w:marBottom w:val="0"/>
      <w:divBdr>
        <w:top w:val="none" w:sz="0" w:space="0" w:color="auto"/>
        <w:left w:val="none" w:sz="0" w:space="0" w:color="auto"/>
        <w:bottom w:val="none" w:sz="0" w:space="0" w:color="auto"/>
        <w:right w:val="none" w:sz="0" w:space="0" w:color="auto"/>
      </w:divBdr>
    </w:div>
    <w:div w:id="1354578615">
      <w:bodyDiv w:val="1"/>
      <w:marLeft w:val="0"/>
      <w:marRight w:val="0"/>
      <w:marTop w:val="0"/>
      <w:marBottom w:val="0"/>
      <w:divBdr>
        <w:top w:val="none" w:sz="0" w:space="0" w:color="auto"/>
        <w:left w:val="none" w:sz="0" w:space="0" w:color="auto"/>
        <w:bottom w:val="none" w:sz="0" w:space="0" w:color="auto"/>
        <w:right w:val="none" w:sz="0" w:space="0" w:color="auto"/>
      </w:divBdr>
    </w:div>
    <w:div w:id="1371150357">
      <w:bodyDiv w:val="1"/>
      <w:marLeft w:val="120"/>
      <w:marRight w:val="120"/>
      <w:marTop w:val="0"/>
      <w:marBottom w:val="0"/>
      <w:divBdr>
        <w:top w:val="none" w:sz="0" w:space="0" w:color="auto"/>
        <w:left w:val="none" w:sz="0" w:space="0" w:color="auto"/>
        <w:bottom w:val="none" w:sz="0" w:space="0" w:color="auto"/>
        <w:right w:val="none" w:sz="0" w:space="0" w:color="auto"/>
      </w:divBdr>
    </w:div>
    <w:div w:id="1468282233">
      <w:bodyDiv w:val="1"/>
      <w:marLeft w:val="0"/>
      <w:marRight w:val="0"/>
      <w:marTop w:val="0"/>
      <w:marBottom w:val="0"/>
      <w:divBdr>
        <w:top w:val="none" w:sz="0" w:space="0" w:color="auto"/>
        <w:left w:val="none" w:sz="0" w:space="0" w:color="auto"/>
        <w:bottom w:val="none" w:sz="0" w:space="0" w:color="auto"/>
        <w:right w:val="none" w:sz="0" w:space="0" w:color="auto"/>
      </w:divBdr>
    </w:div>
    <w:div w:id="1487546995">
      <w:bodyDiv w:val="1"/>
      <w:marLeft w:val="160"/>
      <w:marRight w:val="160"/>
      <w:marTop w:val="0"/>
      <w:marBottom w:val="0"/>
      <w:divBdr>
        <w:top w:val="none" w:sz="0" w:space="0" w:color="auto"/>
        <w:left w:val="none" w:sz="0" w:space="0" w:color="auto"/>
        <w:bottom w:val="none" w:sz="0" w:space="0" w:color="auto"/>
        <w:right w:val="none" w:sz="0" w:space="0" w:color="auto"/>
      </w:divBdr>
    </w:div>
    <w:div w:id="1514995988">
      <w:bodyDiv w:val="1"/>
      <w:marLeft w:val="160"/>
      <w:marRight w:val="160"/>
      <w:marTop w:val="0"/>
      <w:marBottom w:val="0"/>
      <w:divBdr>
        <w:top w:val="none" w:sz="0" w:space="0" w:color="auto"/>
        <w:left w:val="none" w:sz="0" w:space="0" w:color="auto"/>
        <w:bottom w:val="none" w:sz="0" w:space="0" w:color="auto"/>
        <w:right w:val="none" w:sz="0" w:space="0" w:color="auto"/>
      </w:divBdr>
    </w:div>
    <w:div w:id="1515463375">
      <w:bodyDiv w:val="1"/>
      <w:marLeft w:val="160"/>
      <w:marRight w:val="160"/>
      <w:marTop w:val="0"/>
      <w:marBottom w:val="0"/>
      <w:divBdr>
        <w:top w:val="none" w:sz="0" w:space="0" w:color="auto"/>
        <w:left w:val="none" w:sz="0" w:space="0" w:color="auto"/>
        <w:bottom w:val="none" w:sz="0" w:space="0" w:color="auto"/>
        <w:right w:val="none" w:sz="0" w:space="0" w:color="auto"/>
      </w:divBdr>
    </w:div>
    <w:div w:id="1519196315">
      <w:bodyDiv w:val="1"/>
      <w:marLeft w:val="120"/>
      <w:marRight w:val="120"/>
      <w:marTop w:val="0"/>
      <w:marBottom w:val="0"/>
      <w:divBdr>
        <w:top w:val="none" w:sz="0" w:space="0" w:color="auto"/>
        <w:left w:val="none" w:sz="0" w:space="0" w:color="auto"/>
        <w:bottom w:val="none" w:sz="0" w:space="0" w:color="auto"/>
        <w:right w:val="none" w:sz="0" w:space="0" w:color="auto"/>
      </w:divBdr>
    </w:div>
    <w:div w:id="1554930752">
      <w:bodyDiv w:val="1"/>
      <w:marLeft w:val="120"/>
      <w:marRight w:val="120"/>
      <w:marTop w:val="0"/>
      <w:marBottom w:val="0"/>
      <w:divBdr>
        <w:top w:val="none" w:sz="0" w:space="0" w:color="auto"/>
        <w:left w:val="none" w:sz="0" w:space="0" w:color="auto"/>
        <w:bottom w:val="none" w:sz="0" w:space="0" w:color="auto"/>
        <w:right w:val="none" w:sz="0" w:space="0" w:color="auto"/>
      </w:divBdr>
    </w:div>
    <w:div w:id="1555045371">
      <w:bodyDiv w:val="1"/>
      <w:marLeft w:val="120"/>
      <w:marRight w:val="120"/>
      <w:marTop w:val="0"/>
      <w:marBottom w:val="0"/>
      <w:divBdr>
        <w:top w:val="none" w:sz="0" w:space="0" w:color="auto"/>
        <w:left w:val="none" w:sz="0" w:space="0" w:color="auto"/>
        <w:bottom w:val="none" w:sz="0" w:space="0" w:color="auto"/>
        <w:right w:val="none" w:sz="0" w:space="0" w:color="auto"/>
      </w:divBdr>
    </w:div>
    <w:div w:id="1592350214">
      <w:bodyDiv w:val="1"/>
      <w:marLeft w:val="160"/>
      <w:marRight w:val="160"/>
      <w:marTop w:val="0"/>
      <w:marBottom w:val="0"/>
      <w:divBdr>
        <w:top w:val="none" w:sz="0" w:space="0" w:color="auto"/>
        <w:left w:val="none" w:sz="0" w:space="0" w:color="auto"/>
        <w:bottom w:val="none" w:sz="0" w:space="0" w:color="auto"/>
        <w:right w:val="none" w:sz="0" w:space="0" w:color="auto"/>
      </w:divBdr>
    </w:div>
    <w:div w:id="1608468338">
      <w:bodyDiv w:val="1"/>
      <w:marLeft w:val="160"/>
      <w:marRight w:val="160"/>
      <w:marTop w:val="0"/>
      <w:marBottom w:val="0"/>
      <w:divBdr>
        <w:top w:val="none" w:sz="0" w:space="0" w:color="auto"/>
        <w:left w:val="none" w:sz="0" w:space="0" w:color="auto"/>
        <w:bottom w:val="none" w:sz="0" w:space="0" w:color="auto"/>
        <w:right w:val="none" w:sz="0" w:space="0" w:color="auto"/>
      </w:divBdr>
    </w:div>
    <w:div w:id="1618638046">
      <w:bodyDiv w:val="1"/>
      <w:marLeft w:val="160"/>
      <w:marRight w:val="160"/>
      <w:marTop w:val="0"/>
      <w:marBottom w:val="0"/>
      <w:divBdr>
        <w:top w:val="none" w:sz="0" w:space="0" w:color="auto"/>
        <w:left w:val="none" w:sz="0" w:space="0" w:color="auto"/>
        <w:bottom w:val="none" w:sz="0" w:space="0" w:color="auto"/>
        <w:right w:val="none" w:sz="0" w:space="0" w:color="auto"/>
      </w:divBdr>
    </w:div>
    <w:div w:id="1625234251">
      <w:bodyDiv w:val="1"/>
      <w:marLeft w:val="160"/>
      <w:marRight w:val="160"/>
      <w:marTop w:val="0"/>
      <w:marBottom w:val="0"/>
      <w:divBdr>
        <w:top w:val="none" w:sz="0" w:space="0" w:color="auto"/>
        <w:left w:val="none" w:sz="0" w:space="0" w:color="auto"/>
        <w:bottom w:val="none" w:sz="0" w:space="0" w:color="auto"/>
        <w:right w:val="none" w:sz="0" w:space="0" w:color="auto"/>
      </w:divBdr>
    </w:div>
    <w:div w:id="1625427954">
      <w:bodyDiv w:val="1"/>
      <w:marLeft w:val="160"/>
      <w:marRight w:val="160"/>
      <w:marTop w:val="0"/>
      <w:marBottom w:val="0"/>
      <w:divBdr>
        <w:top w:val="none" w:sz="0" w:space="0" w:color="auto"/>
        <w:left w:val="none" w:sz="0" w:space="0" w:color="auto"/>
        <w:bottom w:val="none" w:sz="0" w:space="0" w:color="auto"/>
        <w:right w:val="none" w:sz="0" w:space="0" w:color="auto"/>
      </w:divBdr>
    </w:div>
    <w:div w:id="1653678540">
      <w:bodyDiv w:val="1"/>
      <w:marLeft w:val="160"/>
      <w:marRight w:val="160"/>
      <w:marTop w:val="0"/>
      <w:marBottom w:val="0"/>
      <w:divBdr>
        <w:top w:val="none" w:sz="0" w:space="0" w:color="auto"/>
        <w:left w:val="none" w:sz="0" w:space="0" w:color="auto"/>
        <w:bottom w:val="none" w:sz="0" w:space="0" w:color="auto"/>
        <w:right w:val="none" w:sz="0" w:space="0" w:color="auto"/>
      </w:divBdr>
    </w:div>
    <w:div w:id="1694385082">
      <w:bodyDiv w:val="1"/>
      <w:marLeft w:val="0"/>
      <w:marRight w:val="0"/>
      <w:marTop w:val="0"/>
      <w:marBottom w:val="0"/>
      <w:divBdr>
        <w:top w:val="none" w:sz="0" w:space="0" w:color="auto"/>
        <w:left w:val="none" w:sz="0" w:space="0" w:color="auto"/>
        <w:bottom w:val="none" w:sz="0" w:space="0" w:color="auto"/>
        <w:right w:val="none" w:sz="0" w:space="0" w:color="auto"/>
      </w:divBdr>
      <w:divsChild>
        <w:div w:id="793334178">
          <w:marLeft w:val="0"/>
          <w:marRight w:val="0"/>
          <w:marTop w:val="0"/>
          <w:marBottom w:val="0"/>
          <w:divBdr>
            <w:top w:val="none" w:sz="0" w:space="0" w:color="auto"/>
            <w:left w:val="none" w:sz="0" w:space="0" w:color="auto"/>
            <w:bottom w:val="none" w:sz="0" w:space="0" w:color="auto"/>
            <w:right w:val="none" w:sz="0" w:space="0" w:color="auto"/>
          </w:divBdr>
          <w:divsChild>
            <w:div w:id="1250693169">
              <w:marLeft w:val="0"/>
              <w:marRight w:val="0"/>
              <w:marTop w:val="0"/>
              <w:marBottom w:val="0"/>
              <w:divBdr>
                <w:top w:val="none" w:sz="0" w:space="0" w:color="auto"/>
                <w:left w:val="none" w:sz="0" w:space="0" w:color="auto"/>
                <w:bottom w:val="none" w:sz="0" w:space="0" w:color="auto"/>
                <w:right w:val="none" w:sz="0" w:space="0" w:color="auto"/>
              </w:divBdr>
              <w:divsChild>
                <w:div w:id="1086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3065">
      <w:bodyDiv w:val="1"/>
      <w:marLeft w:val="160"/>
      <w:marRight w:val="160"/>
      <w:marTop w:val="0"/>
      <w:marBottom w:val="0"/>
      <w:divBdr>
        <w:top w:val="none" w:sz="0" w:space="0" w:color="auto"/>
        <w:left w:val="none" w:sz="0" w:space="0" w:color="auto"/>
        <w:bottom w:val="none" w:sz="0" w:space="0" w:color="auto"/>
        <w:right w:val="none" w:sz="0" w:space="0" w:color="auto"/>
      </w:divBdr>
    </w:div>
    <w:div w:id="1815370930">
      <w:bodyDiv w:val="1"/>
      <w:marLeft w:val="160"/>
      <w:marRight w:val="160"/>
      <w:marTop w:val="0"/>
      <w:marBottom w:val="0"/>
      <w:divBdr>
        <w:top w:val="none" w:sz="0" w:space="0" w:color="auto"/>
        <w:left w:val="none" w:sz="0" w:space="0" w:color="auto"/>
        <w:bottom w:val="none" w:sz="0" w:space="0" w:color="auto"/>
        <w:right w:val="none" w:sz="0" w:space="0" w:color="auto"/>
      </w:divBdr>
    </w:div>
    <w:div w:id="1844780631">
      <w:bodyDiv w:val="1"/>
      <w:marLeft w:val="120"/>
      <w:marRight w:val="120"/>
      <w:marTop w:val="0"/>
      <w:marBottom w:val="0"/>
      <w:divBdr>
        <w:top w:val="none" w:sz="0" w:space="0" w:color="auto"/>
        <w:left w:val="none" w:sz="0" w:space="0" w:color="auto"/>
        <w:bottom w:val="none" w:sz="0" w:space="0" w:color="auto"/>
        <w:right w:val="none" w:sz="0" w:space="0" w:color="auto"/>
      </w:divBdr>
    </w:div>
    <w:div w:id="1863976677">
      <w:bodyDiv w:val="1"/>
      <w:marLeft w:val="160"/>
      <w:marRight w:val="160"/>
      <w:marTop w:val="0"/>
      <w:marBottom w:val="0"/>
      <w:divBdr>
        <w:top w:val="none" w:sz="0" w:space="0" w:color="auto"/>
        <w:left w:val="none" w:sz="0" w:space="0" w:color="auto"/>
        <w:bottom w:val="none" w:sz="0" w:space="0" w:color="auto"/>
        <w:right w:val="none" w:sz="0" w:space="0" w:color="auto"/>
      </w:divBdr>
    </w:div>
    <w:div w:id="1901019615">
      <w:bodyDiv w:val="1"/>
      <w:marLeft w:val="160"/>
      <w:marRight w:val="160"/>
      <w:marTop w:val="0"/>
      <w:marBottom w:val="0"/>
      <w:divBdr>
        <w:top w:val="none" w:sz="0" w:space="0" w:color="auto"/>
        <w:left w:val="none" w:sz="0" w:space="0" w:color="auto"/>
        <w:bottom w:val="none" w:sz="0" w:space="0" w:color="auto"/>
        <w:right w:val="none" w:sz="0" w:space="0" w:color="auto"/>
      </w:divBdr>
    </w:div>
    <w:div w:id="1949190700">
      <w:bodyDiv w:val="1"/>
      <w:marLeft w:val="160"/>
      <w:marRight w:val="160"/>
      <w:marTop w:val="0"/>
      <w:marBottom w:val="0"/>
      <w:divBdr>
        <w:top w:val="none" w:sz="0" w:space="0" w:color="auto"/>
        <w:left w:val="none" w:sz="0" w:space="0" w:color="auto"/>
        <w:bottom w:val="none" w:sz="0" w:space="0" w:color="auto"/>
        <w:right w:val="none" w:sz="0" w:space="0" w:color="auto"/>
      </w:divBdr>
    </w:div>
    <w:div w:id="1959680288">
      <w:bodyDiv w:val="1"/>
      <w:marLeft w:val="160"/>
      <w:marRight w:val="160"/>
      <w:marTop w:val="0"/>
      <w:marBottom w:val="0"/>
      <w:divBdr>
        <w:top w:val="none" w:sz="0" w:space="0" w:color="auto"/>
        <w:left w:val="none" w:sz="0" w:space="0" w:color="auto"/>
        <w:bottom w:val="none" w:sz="0" w:space="0" w:color="auto"/>
        <w:right w:val="none" w:sz="0" w:space="0" w:color="auto"/>
      </w:divBdr>
    </w:div>
    <w:div w:id="1974751577">
      <w:bodyDiv w:val="1"/>
      <w:marLeft w:val="150"/>
      <w:marRight w:val="150"/>
      <w:marTop w:val="75"/>
      <w:marBottom w:val="0"/>
      <w:divBdr>
        <w:top w:val="none" w:sz="0" w:space="0" w:color="auto"/>
        <w:left w:val="none" w:sz="0" w:space="0" w:color="auto"/>
        <w:bottom w:val="none" w:sz="0" w:space="0" w:color="auto"/>
        <w:right w:val="none" w:sz="0" w:space="0" w:color="auto"/>
      </w:divBdr>
      <w:divsChild>
        <w:div w:id="1127894468">
          <w:marLeft w:val="0"/>
          <w:marRight w:val="0"/>
          <w:marTop w:val="0"/>
          <w:marBottom w:val="0"/>
          <w:divBdr>
            <w:top w:val="none" w:sz="0" w:space="0" w:color="auto"/>
            <w:left w:val="none" w:sz="0" w:space="0" w:color="auto"/>
            <w:bottom w:val="none" w:sz="0" w:space="0" w:color="auto"/>
            <w:right w:val="none" w:sz="0" w:space="0" w:color="auto"/>
          </w:divBdr>
          <w:divsChild>
            <w:div w:id="1136409819">
              <w:marLeft w:val="0"/>
              <w:marRight w:val="0"/>
              <w:marTop w:val="0"/>
              <w:marBottom w:val="0"/>
              <w:divBdr>
                <w:top w:val="none" w:sz="0" w:space="0" w:color="auto"/>
                <w:left w:val="none" w:sz="0" w:space="0" w:color="auto"/>
                <w:bottom w:val="none" w:sz="0" w:space="0" w:color="auto"/>
                <w:right w:val="none" w:sz="0" w:space="0" w:color="auto"/>
              </w:divBdr>
              <w:divsChild>
                <w:div w:id="690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32453">
      <w:bodyDiv w:val="1"/>
      <w:marLeft w:val="120"/>
      <w:marRight w:val="120"/>
      <w:marTop w:val="0"/>
      <w:marBottom w:val="0"/>
      <w:divBdr>
        <w:top w:val="none" w:sz="0" w:space="0" w:color="auto"/>
        <w:left w:val="none" w:sz="0" w:space="0" w:color="auto"/>
        <w:bottom w:val="none" w:sz="0" w:space="0" w:color="auto"/>
        <w:right w:val="none" w:sz="0" w:space="0" w:color="auto"/>
      </w:divBdr>
    </w:div>
    <w:div w:id="2041125209">
      <w:bodyDiv w:val="1"/>
      <w:marLeft w:val="120"/>
      <w:marRight w:val="120"/>
      <w:marTop w:val="0"/>
      <w:marBottom w:val="0"/>
      <w:divBdr>
        <w:top w:val="none" w:sz="0" w:space="0" w:color="auto"/>
        <w:left w:val="none" w:sz="0" w:space="0" w:color="auto"/>
        <w:bottom w:val="none" w:sz="0" w:space="0" w:color="auto"/>
        <w:right w:val="none" w:sz="0" w:space="0" w:color="auto"/>
      </w:divBdr>
    </w:div>
    <w:div w:id="2066756464">
      <w:bodyDiv w:val="1"/>
      <w:marLeft w:val="120"/>
      <w:marRight w:val="120"/>
      <w:marTop w:val="0"/>
      <w:marBottom w:val="0"/>
      <w:divBdr>
        <w:top w:val="none" w:sz="0" w:space="0" w:color="auto"/>
        <w:left w:val="none" w:sz="0" w:space="0" w:color="auto"/>
        <w:bottom w:val="none" w:sz="0" w:space="0" w:color="auto"/>
        <w:right w:val="none" w:sz="0" w:space="0" w:color="auto"/>
      </w:divBdr>
    </w:div>
    <w:div w:id="2067679954">
      <w:bodyDiv w:val="1"/>
      <w:marLeft w:val="160"/>
      <w:marRight w:val="160"/>
      <w:marTop w:val="0"/>
      <w:marBottom w:val="0"/>
      <w:divBdr>
        <w:top w:val="none" w:sz="0" w:space="0" w:color="auto"/>
        <w:left w:val="none" w:sz="0" w:space="0" w:color="auto"/>
        <w:bottom w:val="none" w:sz="0" w:space="0" w:color="auto"/>
        <w:right w:val="none" w:sz="0" w:space="0" w:color="auto"/>
      </w:divBdr>
    </w:div>
    <w:div w:id="2104178203">
      <w:bodyDiv w:val="1"/>
      <w:marLeft w:val="160"/>
      <w:marRight w:val="160"/>
      <w:marTop w:val="0"/>
      <w:marBottom w:val="0"/>
      <w:divBdr>
        <w:top w:val="none" w:sz="0" w:space="0" w:color="auto"/>
        <w:left w:val="none" w:sz="0" w:space="0" w:color="auto"/>
        <w:bottom w:val="none" w:sz="0" w:space="0" w:color="auto"/>
        <w:right w:val="none" w:sz="0" w:space="0" w:color="auto"/>
      </w:divBdr>
    </w:div>
    <w:div w:id="2114936464">
      <w:bodyDiv w:val="1"/>
      <w:marLeft w:val="160"/>
      <w:marRight w:val="160"/>
      <w:marTop w:val="0"/>
      <w:marBottom w:val="0"/>
      <w:divBdr>
        <w:top w:val="none" w:sz="0" w:space="0" w:color="auto"/>
        <w:left w:val="none" w:sz="0" w:space="0" w:color="auto"/>
        <w:bottom w:val="none" w:sz="0" w:space="0" w:color="auto"/>
        <w:right w:val="none" w:sz="0" w:space="0" w:color="auto"/>
      </w:divBdr>
    </w:div>
    <w:div w:id="2131127034">
      <w:bodyDiv w:val="1"/>
      <w:marLeft w:val="120"/>
      <w:marRight w:val="12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file:///C:\Program%20Files\PowerServ\CourseGraphics\demo_eye.jpg" TargetMode="External"/><Relationship Id="rId20" Type="http://schemas.openxmlformats.org/officeDocument/2006/relationships/image" Target="media/image12.png"/><Relationship Id="rId29" Type="http://schemas.openxmlformats.org/officeDocument/2006/relationships/image" Target="media/image19.wmf"/><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w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oleObject" Target="embeddings/oleObject2.bin"/><Relationship Id="rId36" Type="http://schemas.openxmlformats.org/officeDocument/2006/relationships/image" Target="media/image25.png"/><Relationship Id="rId49" Type="http://schemas.openxmlformats.org/officeDocument/2006/relationships/oleObject" Target="embeddings/oleObject6.bin"/><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0.emf"/><Relationship Id="rId44" Type="http://schemas.openxmlformats.org/officeDocument/2006/relationships/oleObject" Target="embeddings/oleObject4.bin"/><Relationship Id="rId52"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image" Target="media/image24.emf"/><Relationship Id="rId43" Type="http://schemas.openxmlformats.org/officeDocument/2006/relationships/image" Target="media/image32.wmf"/><Relationship Id="rId48" Type="http://schemas.openxmlformats.org/officeDocument/2006/relationships/image" Target="media/image35.w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7.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88D0D-D3AB-456C-AB32-93CD3369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61</TotalTime>
  <Pages>22</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Chapter 2</vt:lpstr>
    </vt:vector>
  </TitlesOfParts>
  <Company>SAS Institute Inc</Company>
  <LinksUpToDate>false</LinksUpToDate>
  <CharactersWithSpaces>15042</CharactersWithSpaces>
  <SharedDoc>false</SharedDoc>
  <HLinks>
    <vt:vector size="24" baseType="variant">
      <vt:variant>
        <vt:i4>1245306</vt:i4>
      </vt:variant>
      <vt:variant>
        <vt:i4>6362</vt:i4>
      </vt:variant>
      <vt:variant>
        <vt:i4>1035</vt:i4>
      </vt:variant>
      <vt:variant>
        <vt:i4>1</vt:i4>
      </vt:variant>
      <vt:variant>
        <vt:lpwstr>C:\Documents and Settings\mahube\Local Settings\Temp\SEG4784\82a7c81eef7b428fbff4f7ec9df6a41c\img0.png</vt:lpwstr>
      </vt:variant>
      <vt:variant>
        <vt:lpwstr/>
      </vt:variant>
      <vt:variant>
        <vt:i4>1704055</vt:i4>
      </vt:variant>
      <vt:variant>
        <vt:i4>16680</vt:i4>
      </vt:variant>
      <vt:variant>
        <vt:i4>1056</vt:i4>
      </vt:variant>
      <vt:variant>
        <vt:i4>1</vt:i4>
      </vt:variant>
      <vt:variant>
        <vt:lpwstr>C:\Documents and Settings\mahube\Local Settings\Temp\SEG4784\b926b739f0d842a98097d47a988ee348\img0.png</vt:lpwstr>
      </vt:variant>
      <vt:variant>
        <vt:lpwstr/>
      </vt:variant>
      <vt:variant>
        <vt:i4>1441917</vt:i4>
      </vt:variant>
      <vt:variant>
        <vt:i4>-1</vt:i4>
      </vt:variant>
      <vt:variant>
        <vt:i4>1053</vt:i4>
      </vt:variant>
      <vt:variant>
        <vt:i4>1</vt:i4>
      </vt:variant>
      <vt:variant>
        <vt:lpwstr>C:\Program Files\PowerServ\CourseGraphics\demo_eye.jpg</vt:lpwstr>
      </vt:variant>
      <vt:variant>
        <vt:lpwstr/>
      </vt:variant>
      <vt:variant>
        <vt:i4>1441917</vt:i4>
      </vt:variant>
      <vt:variant>
        <vt:i4>-1</vt:i4>
      </vt:variant>
      <vt:variant>
        <vt:i4>1063</vt:i4>
      </vt:variant>
      <vt:variant>
        <vt:i4>1</vt:i4>
      </vt:variant>
      <vt:variant>
        <vt:lpwstr>C:\Program Files\PowerServ\CourseGraphics\demo_eye.jpg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
  <dc:creator>Marc Huber</dc:creator>
  <cp:keywords/>
  <cp:lastModifiedBy>Ron Freeze</cp:lastModifiedBy>
  <cp:revision>6</cp:revision>
  <cp:lastPrinted>2008-06-28T16:58:00Z</cp:lastPrinted>
  <dcterms:created xsi:type="dcterms:W3CDTF">2015-09-13T15:20:00Z</dcterms:created>
  <dcterms:modified xsi:type="dcterms:W3CDTF">2015-10-22T12:24:00Z</dcterms:modified>
</cp:coreProperties>
</file>