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25" w:rsidRDefault="00355425" w:rsidP="00DE6B39">
      <w:pPr>
        <w:spacing w:before="120" w:after="0"/>
        <w:jc w:val="center"/>
      </w:pPr>
      <w:r w:rsidRPr="00355425">
        <w:rPr>
          <w:b/>
        </w:rPr>
        <w:t>Dropped off:</w:t>
      </w:r>
      <w:r w:rsidRPr="00355425">
        <w:tab/>
        <w:t>_______</w:t>
      </w:r>
      <w:r w:rsidRPr="00355425">
        <w:rPr>
          <w:b/>
        </w:rPr>
        <w:t>/</w:t>
      </w:r>
      <w:r w:rsidRPr="00355425">
        <w:t>_______</w:t>
      </w:r>
      <w:r w:rsidRPr="00355425">
        <w:rPr>
          <w:b/>
        </w:rPr>
        <w:t>/20</w:t>
      </w:r>
      <w:r w:rsidRPr="00355425">
        <w:t>______</w:t>
      </w:r>
      <w:r w:rsidRPr="00355425">
        <w:rPr>
          <w:b/>
        </w:rPr>
        <w:t>, at</w:t>
      </w:r>
      <w:r w:rsidRPr="00355425">
        <w:t xml:space="preserve"> _________</w:t>
      </w:r>
    </w:p>
    <w:p w:rsidR="00EB70B6" w:rsidRDefault="00EB70B6" w:rsidP="00EB70B6">
      <w:pPr>
        <w:rPr>
          <w:rFonts w:cs="Arial"/>
        </w:rPr>
      </w:pPr>
      <w:r>
        <w:rPr>
          <w:rFonts w:cs="Arial"/>
        </w:rPr>
        <w:br/>
        <w:t xml:space="preserve">Place a Key on top of the stack of student sheets that match that key. Mark it as a key by using the Name field as “Key”, or in the case of multiple versions “Key A”, “Key B”, etc. </w:t>
      </w:r>
    </w:p>
    <w:p w:rsidR="00EB70B6" w:rsidRPr="00EB70B6" w:rsidRDefault="00EB70B6" w:rsidP="00EB70B6">
      <w:pPr>
        <w:rPr>
          <w:rFonts w:cs="Arial"/>
        </w:rPr>
      </w:pPr>
      <w:r>
        <w:rPr>
          <w:rFonts w:cs="Arial"/>
        </w:rPr>
        <w:t xml:space="preserve">If you have a Bb course that is merged sections, we only need the primary course’s section. All the data for the merged sections will be included in the data file and permits a single upload per Key for all merged sections. </w:t>
      </w:r>
    </w:p>
    <w:tbl>
      <w:tblPr>
        <w:tblStyle w:val="TableGrid"/>
        <w:tblW w:w="0" w:type="auto"/>
        <w:tblLook w:val="04A0" w:firstRow="1" w:lastRow="0" w:firstColumn="1" w:lastColumn="0" w:noHBand="0" w:noVBand="1"/>
      </w:tblPr>
      <w:tblGrid>
        <w:gridCol w:w="391"/>
        <w:gridCol w:w="10345"/>
      </w:tblGrid>
      <w:tr w:rsidR="00355425" w:rsidTr="00DE6B39">
        <w:trPr>
          <w:cantSplit/>
        </w:trPr>
        <w:tc>
          <w:tcPr>
            <w:tcW w:w="0" w:type="auto"/>
            <w:tcBorders>
              <w:bottom w:val="dashSmallGap" w:sz="4" w:space="0" w:color="FFFFFF" w:themeColor="background1"/>
            </w:tcBorders>
            <w:shd w:val="clear" w:color="auto" w:fill="3B3838" w:themeFill="background2" w:themeFillShade="40"/>
            <w:tcMar>
              <w:left w:w="58" w:type="dxa"/>
              <w:right w:w="58" w:type="dxa"/>
            </w:tcMar>
            <w:textDirection w:val="btLr"/>
          </w:tcPr>
          <w:p w:rsidR="00355425" w:rsidRPr="00A746EE" w:rsidRDefault="00355425" w:rsidP="00355425">
            <w:pPr>
              <w:ind w:left="115" w:right="115"/>
              <w:jc w:val="center"/>
            </w:pPr>
            <w:r w:rsidRPr="00A746EE">
              <w:t>Faculty</w:t>
            </w:r>
          </w:p>
        </w:tc>
        <w:tc>
          <w:tcPr>
            <w:tcW w:w="10345" w:type="dxa"/>
          </w:tcPr>
          <w:p w:rsidR="00355425" w:rsidRDefault="00355425" w:rsidP="00355425">
            <w:pPr>
              <w:spacing w:before="120" w:after="240"/>
            </w:pPr>
            <w:r>
              <w:rPr>
                <w:b/>
              </w:rPr>
              <w:t>Name</w:t>
            </w:r>
            <w:r w:rsidRPr="00355425">
              <w:rPr>
                <w:b/>
              </w:rPr>
              <w:t>:</w:t>
            </w:r>
            <w:r w:rsidRPr="00355425">
              <w:rPr>
                <w:b/>
              </w:rPr>
              <w:tab/>
            </w:r>
            <w:r w:rsidRPr="00A746EE">
              <w:rPr>
                <w:color w:val="808080" w:themeColor="background1" w:themeShade="80"/>
              </w:rPr>
              <w:t>_</w:t>
            </w:r>
            <w:r w:rsidR="00A746EE" w:rsidRPr="00A746EE">
              <w:rPr>
                <w:color w:val="808080" w:themeColor="background1" w:themeShade="80"/>
              </w:rPr>
              <w:t>_______________</w:t>
            </w:r>
            <w:r w:rsidRPr="00A746EE">
              <w:rPr>
                <w:color w:val="808080" w:themeColor="background1" w:themeShade="80"/>
              </w:rPr>
              <w:t xml:space="preserve">_______________________________________ </w:t>
            </w:r>
          </w:p>
          <w:p w:rsidR="00355425" w:rsidRPr="00355425" w:rsidRDefault="00355425" w:rsidP="007F0F51">
            <w:pPr>
              <w:spacing w:before="120" w:after="60"/>
            </w:pPr>
            <w:r w:rsidRPr="00A746EE">
              <w:rPr>
                <w:b/>
              </w:rPr>
              <w:t>Email:</w:t>
            </w:r>
            <w:r w:rsidR="00A746EE">
              <w:tab/>
            </w:r>
            <w:r w:rsidR="007F0F51" w:rsidRPr="007F0F51">
              <w:rPr>
                <w:color w:val="808080" w:themeColor="background1" w:themeShade="80"/>
              </w:rPr>
              <w:t>____________________________</w:t>
            </w:r>
            <w:r w:rsidR="007F0F51" w:rsidRPr="007F0F51">
              <w:rPr>
                <w:i/>
                <w:color w:val="808080" w:themeColor="background1" w:themeShade="80"/>
              </w:rPr>
              <w:t>@walton.uark.edu</w:t>
            </w:r>
            <w:r w:rsidR="007F0F51">
              <w:rPr>
                <w:i/>
                <w:color w:val="595959" w:themeColor="text1" w:themeTint="A6"/>
              </w:rPr>
              <w:t xml:space="preserve">  </w:t>
            </w:r>
            <w:r w:rsidR="007F0F51" w:rsidRPr="007F0F51">
              <w:rPr>
                <w:color w:val="595959" w:themeColor="text1" w:themeTint="A6"/>
              </w:rPr>
              <w:t>(Data files and reports will be sent here)</w:t>
            </w:r>
          </w:p>
        </w:tc>
      </w:tr>
      <w:tr w:rsidR="00355425" w:rsidTr="00DE6B39">
        <w:trPr>
          <w:cantSplit/>
        </w:trPr>
        <w:tc>
          <w:tcPr>
            <w:tcW w:w="0" w:type="auto"/>
            <w:tcBorders>
              <w:top w:val="dashSmallGap" w:sz="4" w:space="0" w:color="FFFFFF" w:themeColor="background1"/>
              <w:bottom w:val="dashSmallGap" w:sz="4" w:space="0" w:color="FFFFFF" w:themeColor="background1"/>
            </w:tcBorders>
            <w:shd w:val="clear" w:color="auto" w:fill="3B3838" w:themeFill="background2" w:themeFillShade="40"/>
            <w:tcMar>
              <w:left w:w="58" w:type="dxa"/>
              <w:right w:w="58" w:type="dxa"/>
            </w:tcMar>
            <w:textDirection w:val="btLr"/>
          </w:tcPr>
          <w:p w:rsidR="00355425" w:rsidRPr="00A746EE" w:rsidRDefault="00355425" w:rsidP="00355425">
            <w:pPr>
              <w:ind w:left="115" w:right="115"/>
              <w:jc w:val="center"/>
            </w:pPr>
            <w:r w:rsidRPr="00A746EE">
              <w:t>Exam Info</w:t>
            </w:r>
            <w:r w:rsidR="00A746EE">
              <w:t>rmation</w:t>
            </w:r>
          </w:p>
        </w:tc>
        <w:tc>
          <w:tcPr>
            <w:tcW w:w="10345" w:type="dxa"/>
          </w:tcPr>
          <w:p w:rsidR="00355425" w:rsidRDefault="00355425" w:rsidP="00355425">
            <w:pPr>
              <w:spacing w:before="240"/>
              <w:rPr>
                <w:b/>
              </w:rPr>
            </w:pPr>
            <w:r w:rsidRPr="00355425">
              <w:rPr>
                <w:b/>
              </w:rPr>
              <w:t>Course #:</w:t>
            </w:r>
            <w:r w:rsidRPr="00355425">
              <w:t xml:space="preserve"> </w:t>
            </w:r>
            <w:r>
              <w:t xml:space="preserve">       </w:t>
            </w:r>
            <w:r w:rsidR="007F0F51">
              <w:rPr>
                <w:color w:val="808080" w:themeColor="background1" w:themeShade="80"/>
              </w:rPr>
              <w:t>_________-</w:t>
            </w:r>
            <w:r w:rsidRPr="00A746EE">
              <w:rPr>
                <w:color w:val="808080" w:themeColor="background1" w:themeShade="80"/>
              </w:rPr>
              <w:t xml:space="preserve">__________    </w:t>
            </w:r>
            <w:r w:rsidRPr="00355425">
              <w:rPr>
                <w:b/>
              </w:rPr>
              <w:t>Section</w:t>
            </w:r>
            <w:r w:rsidR="00EB70B6">
              <w:rPr>
                <w:b/>
              </w:rPr>
              <w:t>#</w:t>
            </w:r>
            <w:r w:rsidRPr="00355425">
              <w:rPr>
                <w:b/>
              </w:rPr>
              <w:t>:</w:t>
            </w:r>
            <w:r w:rsidRPr="00355425">
              <w:t xml:space="preserve"> </w:t>
            </w:r>
            <w:r w:rsidRPr="00A746EE">
              <w:rPr>
                <w:color w:val="808080" w:themeColor="background1" w:themeShade="80"/>
              </w:rPr>
              <w:t>__________</w:t>
            </w:r>
            <w:r w:rsidRPr="00355425">
              <w:t xml:space="preserve">    </w:t>
            </w:r>
            <w:r w:rsidRPr="00355425">
              <w:rPr>
                <w:b/>
              </w:rPr>
              <w:t>Semester:</w:t>
            </w:r>
            <w:r w:rsidRPr="00355425">
              <w:t xml:space="preserve">  ⃝ Fall       ⃝ Spring       ⃝ Summer</w:t>
            </w:r>
          </w:p>
          <w:p w:rsidR="00355425" w:rsidRPr="00355425" w:rsidRDefault="00355425" w:rsidP="00355425">
            <w:pPr>
              <w:spacing w:before="240"/>
            </w:pPr>
            <w:r w:rsidRPr="00355425">
              <w:rPr>
                <w:b/>
              </w:rPr>
              <w:t>Exam Title:</w:t>
            </w:r>
            <w:r w:rsidRPr="00355425">
              <w:t xml:space="preserve"> </w:t>
            </w:r>
            <w:r>
              <w:t xml:space="preserve">    </w:t>
            </w:r>
            <w:r w:rsidRPr="00A746EE">
              <w:rPr>
                <w:color w:val="808080" w:themeColor="background1" w:themeShade="80"/>
              </w:rPr>
              <w:t>________________________________________________________________________________</w:t>
            </w:r>
            <w:r w:rsidRPr="00355425">
              <w:t xml:space="preserve"> </w:t>
            </w:r>
          </w:p>
          <w:p w:rsidR="00355425" w:rsidRPr="00DE6B39" w:rsidRDefault="00355425" w:rsidP="00355425">
            <w:pPr>
              <w:rPr>
                <w:color w:val="595959" w:themeColor="text1" w:themeTint="A6"/>
                <w:sz w:val="18"/>
              </w:rPr>
            </w:pPr>
            <w:r w:rsidRPr="00355425">
              <w:tab/>
            </w:r>
            <w:r w:rsidRPr="00355425">
              <w:tab/>
            </w:r>
            <w:r w:rsidRPr="00DE6B39">
              <w:rPr>
                <w:color w:val="595959" w:themeColor="text1" w:themeTint="A6"/>
                <w:sz w:val="18"/>
              </w:rPr>
              <w:t xml:space="preserve">This will be used to generate the data file and provide a unique identifier, e.g., </w:t>
            </w:r>
            <w:r w:rsidRPr="00DE6B39">
              <w:rPr>
                <w:i/>
                <w:color w:val="595959" w:themeColor="text1" w:themeTint="A6"/>
                <w:sz w:val="18"/>
              </w:rPr>
              <w:t>Mid-term, Finals, Exam 1</w:t>
            </w:r>
            <w:r w:rsidRPr="00DE6B39">
              <w:rPr>
                <w:color w:val="595959" w:themeColor="text1" w:themeTint="A6"/>
                <w:sz w:val="18"/>
              </w:rPr>
              <w:t>, etc.</w:t>
            </w:r>
          </w:p>
          <w:p w:rsidR="00355425" w:rsidRPr="00355425" w:rsidRDefault="00355425" w:rsidP="00355425"/>
          <w:p w:rsidR="00355425" w:rsidRPr="00355425" w:rsidRDefault="00355425" w:rsidP="00355425">
            <w:r w:rsidRPr="00355425">
              <w:rPr>
                <w:b/>
              </w:rPr>
              <w:t>Key Versions:</w:t>
            </w:r>
            <w:r>
              <w:rPr>
                <w:b/>
              </w:rPr>
              <w:t xml:space="preserve"> </w:t>
            </w:r>
            <w:r w:rsidRPr="00A746EE">
              <w:rPr>
                <w:color w:val="808080" w:themeColor="background1" w:themeShade="80"/>
              </w:rPr>
              <w:t>________________________________________________________________________________</w:t>
            </w:r>
          </w:p>
          <w:p w:rsidR="00355425" w:rsidRPr="00DE6B39" w:rsidRDefault="00355425" w:rsidP="00EB70B6">
            <w:pPr>
              <w:spacing w:after="60"/>
            </w:pPr>
            <w:r w:rsidRPr="00355425">
              <w:tab/>
            </w:r>
            <w:r w:rsidRPr="00355425">
              <w:tab/>
            </w:r>
            <w:r w:rsidRPr="00DE6B39">
              <w:rPr>
                <w:color w:val="595959" w:themeColor="text1" w:themeTint="A6"/>
                <w:sz w:val="18"/>
              </w:rPr>
              <w:t xml:space="preserve">Identify how you want to reference the grouped results, e.g., </w:t>
            </w:r>
            <w:r w:rsidR="00EB70B6">
              <w:rPr>
                <w:i/>
                <w:color w:val="595959" w:themeColor="text1" w:themeTint="A6"/>
                <w:sz w:val="18"/>
              </w:rPr>
              <w:t>Key</w:t>
            </w:r>
            <w:r w:rsidRPr="00DE6B39">
              <w:rPr>
                <w:i/>
                <w:color w:val="595959" w:themeColor="text1" w:themeTint="A6"/>
                <w:sz w:val="18"/>
              </w:rPr>
              <w:t xml:space="preserve"> A and B, Primary and Make-up</w:t>
            </w:r>
            <w:r w:rsidRPr="00DE6B39">
              <w:rPr>
                <w:color w:val="595959" w:themeColor="text1" w:themeTint="A6"/>
                <w:sz w:val="18"/>
              </w:rPr>
              <w:t>, etc.</w:t>
            </w:r>
          </w:p>
        </w:tc>
      </w:tr>
      <w:tr w:rsidR="00355425" w:rsidTr="00DE6B39">
        <w:trPr>
          <w:cantSplit/>
        </w:trPr>
        <w:tc>
          <w:tcPr>
            <w:tcW w:w="0" w:type="auto"/>
            <w:tcBorders>
              <w:top w:val="dashSmallGap" w:sz="4" w:space="0" w:color="FFFFFF" w:themeColor="background1"/>
            </w:tcBorders>
            <w:shd w:val="clear" w:color="auto" w:fill="3B3838" w:themeFill="background2" w:themeFillShade="40"/>
            <w:tcMar>
              <w:left w:w="58" w:type="dxa"/>
              <w:right w:w="58" w:type="dxa"/>
            </w:tcMar>
            <w:textDirection w:val="btLr"/>
          </w:tcPr>
          <w:p w:rsidR="00355425" w:rsidRPr="00A746EE" w:rsidRDefault="00355425" w:rsidP="00355425">
            <w:pPr>
              <w:ind w:left="115" w:right="115"/>
              <w:jc w:val="center"/>
            </w:pPr>
            <w:r w:rsidRPr="00A746EE">
              <w:t>Retention</w:t>
            </w:r>
          </w:p>
        </w:tc>
        <w:tc>
          <w:tcPr>
            <w:tcW w:w="10345" w:type="dxa"/>
          </w:tcPr>
          <w:p w:rsidR="00355425" w:rsidRPr="00355425" w:rsidRDefault="00355425" w:rsidP="00355425">
            <w:pPr>
              <w:rPr>
                <w:rFonts w:cs="Arial"/>
              </w:rPr>
            </w:pPr>
            <w:r w:rsidRPr="00355425">
              <w:rPr>
                <w:rFonts w:cs="Arial"/>
              </w:rPr>
              <w:t>Do you want to pick up the original hard copies after scanning or plan for us to shred them? (</w:t>
            </w:r>
            <w:r>
              <w:rPr>
                <w:rFonts w:cs="Arial"/>
              </w:rPr>
              <w:t>Check</w:t>
            </w:r>
            <w:r w:rsidRPr="00355425">
              <w:rPr>
                <w:rFonts w:cs="Arial"/>
              </w:rPr>
              <w:t xml:space="preserve"> one)</w:t>
            </w:r>
          </w:p>
          <w:p w:rsidR="00355425" w:rsidRPr="00355425" w:rsidRDefault="00355425" w:rsidP="00355425">
            <w:pPr>
              <w:pStyle w:val="ListParagraph"/>
              <w:numPr>
                <w:ilvl w:val="0"/>
                <w:numId w:val="1"/>
              </w:numPr>
              <w:rPr>
                <w:rFonts w:cs="Arial"/>
              </w:rPr>
            </w:pPr>
            <w:r w:rsidRPr="00355425">
              <w:rPr>
                <w:rFonts w:cs="Arial"/>
              </w:rPr>
              <w:t xml:space="preserve">Jobs </w:t>
            </w:r>
            <w:r w:rsidRPr="00355425">
              <w:rPr>
                <w:rFonts w:cs="Arial"/>
                <w:b/>
              </w:rPr>
              <w:t>h</w:t>
            </w:r>
            <w:r>
              <w:rPr>
                <w:rFonts w:cs="Arial"/>
                <w:b/>
              </w:rPr>
              <w:t>e</w:t>
            </w:r>
            <w:r w:rsidRPr="00355425">
              <w:rPr>
                <w:rFonts w:cs="Arial"/>
                <w:b/>
              </w:rPr>
              <w:t>ld for pick-up</w:t>
            </w:r>
            <w:r w:rsidRPr="00355425">
              <w:rPr>
                <w:rFonts w:cs="Arial"/>
              </w:rPr>
              <w:t xml:space="preserve"> will be set-aside for quick retrieval when you arrive. Jobs identified for </w:t>
            </w:r>
            <w:r w:rsidRPr="00355425">
              <w:rPr>
                <w:rFonts w:cs="Arial"/>
                <w:b/>
              </w:rPr>
              <w:t>shred by policy</w:t>
            </w:r>
            <w:r w:rsidRPr="00355425">
              <w:rPr>
                <w:rFonts w:cs="Arial"/>
              </w:rPr>
              <w:t xml:space="preserve"> will be archived according to the retention policy below, and will delay retrieval if you decide later to pick-up. </w:t>
            </w:r>
          </w:p>
          <w:p w:rsidR="00355425" w:rsidRPr="00DE6B39" w:rsidRDefault="00355425" w:rsidP="00DE6B39">
            <w:pPr>
              <w:pStyle w:val="ListParagraph"/>
              <w:numPr>
                <w:ilvl w:val="0"/>
                <w:numId w:val="1"/>
              </w:numPr>
              <w:rPr>
                <w:rFonts w:cs="Arial"/>
                <w:u w:val="single"/>
              </w:rPr>
            </w:pPr>
            <w:r w:rsidRPr="00355425">
              <w:rPr>
                <w:rFonts w:cs="Arial"/>
                <w:u w:val="single"/>
              </w:rPr>
              <w:t xml:space="preserve">Jobs marked </w:t>
            </w:r>
            <w:r w:rsidRPr="00355425">
              <w:rPr>
                <w:rFonts w:cs="Arial"/>
                <w:b/>
                <w:u w:val="single"/>
              </w:rPr>
              <w:t>hold for pick-up</w:t>
            </w:r>
            <w:r w:rsidRPr="00355425">
              <w:rPr>
                <w:rFonts w:cs="Arial"/>
                <w:u w:val="single"/>
              </w:rPr>
              <w:t>, must be picked up by the start of the following semester – if they are not picked up by the time, the job will be moved to the archive stack and the retention policy will apply.</w:t>
            </w:r>
          </w:p>
          <w:tbl>
            <w:tblPr>
              <w:tblStyle w:val="TableGrid"/>
              <w:tblW w:w="3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0"/>
              <w:gridCol w:w="3002"/>
            </w:tblGrid>
            <w:tr w:rsidR="00355425" w:rsidRPr="00355425" w:rsidTr="00CB7FD4">
              <w:trPr>
                <w:jc w:val="center"/>
              </w:trPr>
              <w:tc>
                <w:tcPr>
                  <w:tcW w:w="3596" w:type="dxa"/>
                </w:tcPr>
                <w:p w:rsidR="00355425" w:rsidRPr="00355425" w:rsidRDefault="00355425" w:rsidP="00355425">
                  <w:pPr>
                    <w:spacing w:after="120"/>
                    <w:jc w:val="center"/>
                    <w:rPr>
                      <w:rFonts w:cs="Arial"/>
                      <w:b/>
                      <w:sz w:val="28"/>
                    </w:rPr>
                  </w:pPr>
                  <w:r w:rsidRPr="00355425">
                    <w:t xml:space="preserve">⃝ </w:t>
                  </w:r>
                  <w:r w:rsidR="0011256C">
                    <w:rPr>
                      <w:rFonts w:cs="Arial"/>
                      <w:b/>
                      <w:sz w:val="28"/>
                    </w:rPr>
                    <w:t>Hold for Pick-up</w:t>
                  </w:r>
                </w:p>
              </w:tc>
              <w:tc>
                <w:tcPr>
                  <w:tcW w:w="720" w:type="dxa"/>
                </w:tcPr>
                <w:p w:rsidR="00355425" w:rsidRPr="00355425" w:rsidRDefault="00355425" w:rsidP="00355425">
                  <w:pPr>
                    <w:spacing w:after="120"/>
                    <w:jc w:val="center"/>
                    <w:rPr>
                      <w:rFonts w:cs="Arial"/>
                      <w:b/>
                      <w:sz w:val="28"/>
                    </w:rPr>
                  </w:pPr>
                </w:p>
              </w:tc>
              <w:tc>
                <w:tcPr>
                  <w:tcW w:w="3597" w:type="dxa"/>
                </w:tcPr>
                <w:p w:rsidR="00355425" w:rsidRPr="00355425" w:rsidRDefault="00355425" w:rsidP="00355425">
                  <w:pPr>
                    <w:spacing w:after="120"/>
                    <w:jc w:val="center"/>
                    <w:rPr>
                      <w:rFonts w:cs="Arial"/>
                      <w:b/>
                      <w:sz w:val="28"/>
                    </w:rPr>
                  </w:pPr>
                  <w:r w:rsidRPr="00355425">
                    <w:t xml:space="preserve">⃝ </w:t>
                  </w:r>
                  <w:r>
                    <w:rPr>
                      <w:rFonts w:cs="Arial"/>
                      <w:b/>
                      <w:sz w:val="28"/>
                    </w:rPr>
                    <w:t>Shred by Policy</w:t>
                  </w:r>
                </w:p>
              </w:tc>
            </w:tr>
          </w:tbl>
          <w:p w:rsidR="00355425" w:rsidRDefault="00355425" w:rsidP="00CB7FD4">
            <w:pPr>
              <w:rPr>
                <w:b/>
              </w:rPr>
            </w:pPr>
          </w:p>
        </w:tc>
      </w:tr>
    </w:tbl>
    <w:p w:rsidR="00355425" w:rsidRPr="00DE6B39" w:rsidRDefault="00355425" w:rsidP="0001045F">
      <w:pPr>
        <w:spacing w:after="0"/>
        <w:rPr>
          <w:rFonts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1045F" w:rsidTr="00DE6B39">
        <w:tc>
          <w:tcPr>
            <w:tcW w:w="5395" w:type="dxa"/>
            <w:tcBorders>
              <w:right w:val="dashSmallGap" w:sz="4" w:space="0" w:color="auto"/>
            </w:tcBorders>
            <w:tcMar>
              <w:left w:w="0" w:type="dxa"/>
              <w:right w:w="0" w:type="dxa"/>
            </w:tcMar>
          </w:tcPr>
          <w:p w:rsidR="0001045F" w:rsidRDefault="0001045F" w:rsidP="0001045F">
            <w:pPr>
              <w:spacing w:before="120"/>
              <w:rPr>
                <w:rFonts w:cs="Arial"/>
                <w:b/>
              </w:rPr>
            </w:pPr>
            <w:r>
              <w:rPr>
                <w:rFonts w:cs="Arial"/>
                <w:b/>
              </w:rPr>
              <w:t xml:space="preserve">Faculty Signature: </w:t>
            </w:r>
            <w:r w:rsidR="00A746EE">
              <w:rPr>
                <w:rFonts w:cs="Arial"/>
                <w:b/>
              </w:rPr>
              <w:t xml:space="preserve"> ________________________________</w:t>
            </w:r>
          </w:p>
        </w:tc>
        <w:tc>
          <w:tcPr>
            <w:tcW w:w="5395" w:type="dxa"/>
            <w:vMerge w:val="restart"/>
            <w:tcBorders>
              <w:top w:val="dashSmallGap" w:sz="4" w:space="0" w:color="auto"/>
              <w:left w:val="dashSmallGap" w:sz="4" w:space="0" w:color="auto"/>
              <w:right w:val="dashSmallGap" w:sz="4" w:space="0" w:color="auto"/>
            </w:tcBorders>
            <w:tcMar>
              <w:top w:w="29" w:type="dxa"/>
              <w:left w:w="29" w:type="dxa"/>
              <w:bottom w:w="29" w:type="dxa"/>
              <w:right w:w="29" w:type="dxa"/>
            </w:tcMar>
          </w:tcPr>
          <w:p w:rsidR="0001045F" w:rsidRPr="00DE6B39" w:rsidRDefault="0001045F" w:rsidP="00DE6B39">
            <w:pPr>
              <w:rPr>
                <w:rFonts w:ascii="Arial" w:hAnsi="Arial" w:cs="Arial"/>
                <w:b/>
                <w:sz w:val="20"/>
                <w:szCs w:val="20"/>
              </w:rPr>
            </w:pPr>
            <w:r w:rsidRPr="00DE6B39">
              <w:rPr>
                <w:rFonts w:ascii="Arial" w:hAnsi="Arial" w:cs="Arial"/>
                <w:b/>
                <w:sz w:val="20"/>
                <w:szCs w:val="20"/>
              </w:rPr>
              <w:t>Scanned Exam Form Retention:</w:t>
            </w:r>
            <w:r w:rsidRPr="00DE6B39">
              <w:rPr>
                <w:rFonts w:ascii="Arial" w:hAnsi="Arial" w:cs="Arial"/>
                <w:sz w:val="20"/>
                <w:szCs w:val="20"/>
              </w:rPr>
              <w:t xml:space="preserve"> All jobs in the scanning archive will be shredded at the end of the semester that follows the scan semester. Faculty with jobs that were marked for pick-up, yet are not picked up by mid-terms of the following semester will be reminded by email that the job will be shredded at the end of the semester. Jobs that explicitly marked for shred, will not receive notification.</w:t>
            </w:r>
          </w:p>
        </w:tc>
      </w:tr>
      <w:tr w:rsidR="00A746EE" w:rsidTr="00DE6B39">
        <w:tc>
          <w:tcPr>
            <w:tcW w:w="5395" w:type="dxa"/>
            <w:tcBorders>
              <w:right w:val="dashSmallGap" w:sz="4" w:space="0" w:color="auto"/>
            </w:tcBorders>
            <w:tcMar>
              <w:left w:w="0" w:type="dxa"/>
              <w:right w:w="0" w:type="dxa"/>
            </w:tcMar>
          </w:tcPr>
          <w:tbl>
            <w:tblPr>
              <w:tblStyle w:val="TableGrid"/>
              <w:tblW w:w="0" w:type="auto"/>
              <w:jc w:val="center"/>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ook w:val="04A0" w:firstRow="1" w:lastRow="0" w:firstColumn="1" w:lastColumn="0" w:noHBand="0" w:noVBand="1"/>
            </w:tblPr>
            <w:tblGrid>
              <w:gridCol w:w="4752"/>
            </w:tblGrid>
            <w:tr w:rsidR="00DE6B39" w:rsidTr="00DE6B39">
              <w:trPr>
                <w:jc w:val="center"/>
              </w:trPr>
              <w:tc>
                <w:tcPr>
                  <w:tcW w:w="4752" w:type="dxa"/>
                  <w:tcMar>
                    <w:left w:w="58" w:type="dxa"/>
                    <w:right w:w="58" w:type="dxa"/>
                  </w:tcMar>
                  <w:vAlign w:val="bottom"/>
                </w:tcPr>
                <w:p w:rsidR="00DE6B39" w:rsidRPr="00DE6B39" w:rsidRDefault="00DE6B39" w:rsidP="00DE6B39">
                  <w:pPr>
                    <w:rPr>
                      <w:rFonts w:ascii="Arial" w:hAnsi="Arial" w:cs="Arial"/>
                      <w:b/>
                      <w:color w:val="595959" w:themeColor="text1" w:themeTint="A6"/>
                      <w:sz w:val="16"/>
                      <w:szCs w:val="16"/>
                    </w:rPr>
                  </w:pPr>
                  <w:proofErr w:type="spellStart"/>
                  <w:r w:rsidRPr="00DE6B39">
                    <w:rPr>
                      <w:rFonts w:ascii="Arial" w:hAnsi="Arial" w:cs="Arial"/>
                      <w:b/>
                      <w:color w:val="595959" w:themeColor="text1" w:themeTint="A6"/>
                      <w:sz w:val="16"/>
                      <w:szCs w:val="16"/>
                    </w:rPr>
                    <w:t>ID&amp;AoL</w:t>
                  </w:r>
                  <w:proofErr w:type="spellEnd"/>
                  <w:r w:rsidRPr="00DE6B39">
                    <w:rPr>
                      <w:rFonts w:ascii="Arial" w:hAnsi="Arial" w:cs="Arial"/>
                      <w:b/>
                      <w:color w:val="595959" w:themeColor="text1" w:themeTint="A6"/>
                      <w:sz w:val="16"/>
                      <w:szCs w:val="16"/>
                    </w:rPr>
                    <w:t xml:space="preserve"> Use – </w:t>
                  </w:r>
                </w:p>
                <w:p w:rsidR="00DE6B39" w:rsidRPr="00DE6B39" w:rsidRDefault="00DE6B39" w:rsidP="00DE6B39">
                  <w:pPr>
                    <w:spacing w:before="120"/>
                    <w:ind w:firstLine="288"/>
                    <w:rPr>
                      <w:rFonts w:ascii="Arial" w:hAnsi="Arial" w:cs="Arial"/>
                      <w:color w:val="595959" w:themeColor="text1" w:themeTint="A6"/>
                      <w:sz w:val="16"/>
                      <w:szCs w:val="16"/>
                    </w:rPr>
                  </w:pPr>
                  <w:r w:rsidRPr="00DE6B39">
                    <w:rPr>
                      <w:rFonts w:ascii="Arial" w:hAnsi="Arial" w:cs="Arial"/>
                      <w:color w:val="595959" w:themeColor="text1" w:themeTint="A6"/>
                      <w:sz w:val="16"/>
                      <w:szCs w:val="16"/>
                    </w:rPr>
                    <w:sym w:font="Webdings" w:char="F063"/>
                  </w:r>
                  <w:r w:rsidRPr="00DE6B39">
                    <w:rPr>
                      <w:rFonts w:ascii="Arial" w:hAnsi="Arial" w:cs="Arial"/>
                      <w:color w:val="595959" w:themeColor="text1" w:themeTint="A6"/>
                      <w:sz w:val="16"/>
                      <w:szCs w:val="16"/>
                    </w:rPr>
                    <w:t xml:space="preserve"> Scanned     </w:t>
                  </w:r>
                  <w:r w:rsidRPr="00DE6B39">
                    <w:rPr>
                      <w:rFonts w:ascii="Arial" w:hAnsi="Arial" w:cs="Arial"/>
                      <w:color w:val="595959" w:themeColor="text1" w:themeTint="A6"/>
                      <w:sz w:val="16"/>
                      <w:szCs w:val="16"/>
                    </w:rPr>
                    <w:sym w:font="Webdings" w:char="F063"/>
                  </w:r>
                  <w:r w:rsidRPr="00DE6B39">
                    <w:rPr>
                      <w:rFonts w:ascii="Arial" w:hAnsi="Arial" w:cs="Arial"/>
                      <w:color w:val="595959" w:themeColor="text1" w:themeTint="A6"/>
                      <w:sz w:val="16"/>
                      <w:szCs w:val="16"/>
                    </w:rPr>
                    <w:t xml:space="preserve"> Ticket Created/Data Sent</w:t>
                  </w:r>
                </w:p>
                <w:p w:rsidR="00DE6B39" w:rsidRPr="00DE6B39" w:rsidRDefault="00DE6B39" w:rsidP="00DE6B39">
                  <w:pPr>
                    <w:spacing w:before="120"/>
                    <w:ind w:firstLine="288"/>
                    <w:rPr>
                      <w:rFonts w:ascii="Arial" w:hAnsi="Arial" w:cs="Arial"/>
                      <w:color w:val="595959" w:themeColor="text1" w:themeTint="A6"/>
                      <w:sz w:val="16"/>
                      <w:szCs w:val="16"/>
                    </w:rPr>
                  </w:pPr>
                  <w:r w:rsidRPr="00DE6B39">
                    <w:rPr>
                      <w:rFonts w:ascii="Arial" w:hAnsi="Arial" w:cs="Arial"/>
                      <w:color w:val="595959" w:themeColor="text1" w:themeTint="A6"/>
                      <w:sz w:val="16"/>
                      <w:szCs w:val="16"/>
                    </w:rPr>
                    <w:t>Picked-up: ____/____/____     (Reminder ____/____/____)</w:t>
                  </w:r>
                </w:p>
                <w:p w:rsidR="00DE6B39" w:rsidRPr="00A746EE" w:rsidRDefault="00DE6B39" w:rsidP="00DE6B39">
                  <w:pPr>
                    <w:spacing w:before="120" w:after="20"/>
                    <w:ind w:firstLine="288"/>
                    <w:rPr>
                      <w:rFonts w:ascii="Arial" w:hAnsi="Arial" w:cs="Arial"/>
                      <w:sz w:val="16"/>
                      <w:szCs w:val="16"/>
                    </w:rPr>
                  </w:pPr>
                  <w:r w:rsidRPr="00DE6B39">
                    <w:rPr>
                      <w:rFonts w:ascii="Arial" w:hAnsi="Arial" w:cs="Arial"/>
                      <w:color w:val="595959" w:themeColor="text1" w:themeTint="A6"/>
                      <w:sz w:val="16"/>
                      <w:szCs w:val="16"/>
                    </w:rPr>
                    <w:t>Shredded: ____/____/____</w:t>
                  </w:r>
                </w:p>
              </w:tc>
            </w:tr>
          </w:tbl>
          <w:p w:rsidR="00A746EE" w:rsidRPr="00DE6B39" w:rsidRDefault="00A746EE" w:rsidP="0001045F">
            <w:pPr>
              <w:rPr>
                <w:rFonts w:cs="Arial"/>
              </w:rPr>
            </w:pPr>
          </w:p>
        </w:tc>
        <w:tc>
          <w:tcPr>
            <w:tcW w:w="5395" w:type="dxa"/>
            <w:vMerge/>
            <w:tcBorders>
              <w:left w:val="dashSmallGap" w:sz="4" w:space="0" w:color="auto"/>
              <w:bottom w:val="dashSmallGap" w:sz="4" w:space="0" w:color="auto"/>
              <w:right w:val="dashSmallGap" w:sz="4" w:space="0" w:color="auto"/>
            </w:tcBorders>
          </w:tcPr>
          <w:p w:rsidR="00A746EE" w:rsidRDefault="00A746EE" w:rsidP="00355425">
            <w:pPr>
              <w:rPr>
                <w:rFonts w:cs="Arial"/>
                <w:b/>
              </w:rPr>
            </w:pPr>
          </w:p>
        </w:tc>
      </w:tr>
    </w:tbl>
    <w:p w:rsidR="0011256C" w:rsidRDefault="0011256C" w:rsidP="00DE6B39">
      <w:pPr>
        <w:rPr>
          <w:rFonts w:ascii="Arial" w:hAnsi="Arial" w:cs="Arial"/>
          <w:sz w:val="24"/>
          <w:szCs w:val="24"/>
        </w:rPr>
      </w:pPr>
    </w:p>
    <w:p w:rsidR="007F0F51" w:rsidRPr="00EB70B6" w:rsidRDefault="00EB70B6" w:rsidP="00EB70B6">
      <w:pPr>
        <w:jc w:val="center"/>
        <w:rPr>
          <w:rFonts w:cs="Arial"/>
          <w:b/>
          <w:sz w:val="24"/>
        </w:rPr>
      </w:pPr>
      <w:r w:rsidRPr="00EB70B6">
        <w:rPr>
          <w:rFonts w:cs="Arial"/>
          <w:b/>
          <w:sz w:val="24"/>
        </w:rPr>
        <w:t xml:space="preserve">-- -- -- -- -- -- -- -- -- -- -- Special Test Scoring Details -- -- -- -- -- -- -- -- -- -- -- </w:t>
      </w:r>
    </w:p>
    <w:p w:rsidR="007F0F51" w:rsidRPr="00F135BF" w:rsidRDefault="007F0F51" w:rsidP="00EB70B6">
      <w:pPr>
        <w:pStyle w:val="ListParagraph"/>
        <w:numPr>
          <w:ilvl w:val="0"/>
          <w:numId w:val="2"/>
        </w:numPr>
        <w:spacing w:before="120"/>
        <w:ind w:left="360"/>
        <w:contextualSpacing w:val="0"/>
        <w:rPr>
          <w:rFonts w:cs="Arial"/>
        </w:rPr>
      </w:pPr>
      <w:r w:rsidRPr="00F135BF">
        <w:rPr>
          <w:rFonts w:cs="Arial"/>
        </w:rPr>
        <w:t>Eliminate any questions from scoring? ________</w:t>
      </w:r>
      <w:r w:rsidR="00F135BF" w:rsidRPr="00F135BF">
        <w:rPr>
          <w:rFonts w:cs="Arial"/>
        </w:rPr>
        <w:t>_____________________________</w:t>
      </w:r>
      <w:r w:rsidRPr="00F135BF">
        <w:rPr>
          <w:rFonts w:cs="Arial"/>
        </w:rPr>
        <w:t>_______</w:t>
      </w:r>
      <w:r w:rsidRPr="00F135BF">
        <w:rPr>
          <w:rFonts w:cs="Arial"/>
        </w:rPr>
        <w:br/>
      </w:r>
      <w:proofErr w:type="gramStart"/>
      <w:r w:rsidRPr="00F135BF">
        <w:rPr>
          <w:rFonts w:cs="Arial"/>
        </w:rPr>
        <w:t>If</w:t>
      </w:r>
      <w:proofErr w:type="gramEnd"/>
      <w:r w:rsidRPr="00F135BF">
        <w:rPr>
          <w:rFonts w:cs="Arial"/>
        </w:rPr>
        <w:t xml:space="preserve"> you want to skip a question from the scoring, identify the question(s) by key (e.g., Key A Q1, 15 and Key B Q2, 21). </w:t>
      </w:r>
    </w:p>
    <w:p w:rsidR="007F0F51" w:rsidRPr="00F135BF" w:rsidRDefault="007F0F51" w:rsidP="00EB70B6">
      <w:pPr>
        <w:pStyle w:val="ListParagraph"/>
        <w:numPr>
          <w:ilvl w:val="0"/>
          <w:numId w:val="2"/>
        </w:numPr>
        <w:spacing w:before="120"/>
        <w:ind w:left="360"/>
        <w:contextualSpacing w:val="0"/>
        <w:rPr>
          <w:rFonts w:cs="Arial"/>
        </w:rPr>
      </w:pPr>
      <w:r w:rsidRPr="00F135BF">
        <w:rPr>
          <w:rFonts w:cs="Arial"/>
        </w:rPr>
        <w:t>How many points do you want each question to be worth (default is 1)? __________________</w:t>
      </w:r>
    </w:p>
    <w:p w:rsidR="007F0F51" w:rsidRPr="00F135BF" w:rsidRDefault="007F0F51" w:rsidP="00EB70B6">
      <w:pPr>
        <w:pStyle w:val="ListParagraph"/>
        <w:numPr>
          <w:ilvl w:val="0"/>
          <w:numId w:val="2"/>
        </w:numPr>
        <w:spacing w:before="120"/>
        <w:ind w:left="360"/>
        <w:contextualSpacing w:val="0"/>
        <w:rPr>
          <w:rFonts w:cs="Arial"/>
        </w:rPr>
      </w:pPr>
      <w:r w:rsidRPr="00F135BF">
        <w:rPr>
          <w:rFonts w:cs="Arial"/>
        </w:rPr>
        <w:t>Are there any special point value questions? _______________________________________</w:t>
      </w:r>
      <w:r w:rsidRPr="00F135BF">
        <w:rPr>
          <w:rFonts w:cs="Arial"/>
        </w:rPr>
        <w:br/>
        <w:t>___________________________________________________________________________</w:t>
      </w:r>
      <w:r w:rsidRPr="00F135BF">
        <w:rPr>
          <w:rFonts w:cs="Arial"/>
        </w:rPr>
        <w:br/>
      </w:r>
      <w:proofErr w:type="gramStart"/>
      <w:r w:rsidRPr="00F135BF">
        <w:rPr>
          <w:rFonts w:cs="Arial"/>
        </w:rPr>
        <w:t>If</w:t>
      </w:r>
      <w:proofErr w:type="gramEnd"/>
      <w:r w:rsidRPr="00F135BF">
        <w:rPr>
          <w:rFonts w:cs="Arial"/>
        </w:rPr>
        <w:t xml:space="preserve"> any questions deviate from the point value above, list the key and question number and the value it should receive.</w:t>
      </w:r>
    </w:p>
    <w:p w:rsidR="00F135BF" w:rsidRDefault="00F135BF" w:rsidP="00EB70B6">
      <w:pPr>
        <w:ind w:left="360"/>
      </w:pPr>
      <w:r>
        <w:t xml:space="preserve">NOTE: Scores printed on the form are the raw number of questions correct – NOT the point values. </w:t>
      </w:r>
      <w:r>
        <w:br/>
      </w:r>
      <w:r w:rsidRPr="00F135BF">
        <w:rPr>
          <w:u w:val="single"/>
        </w:rPr>
        <w:t>If your exam includes any questions that have multiple correct responses</w:t>
      </w:r>
      <w:r>
        <w:t xml:space="preserve"> which points are awarded for either response (e.g., A </w:t>
      </w:r>
      <w:r w:rsidRPr="00F135BF">
        <w:rPr>
          <w:i/>
        </w:rPr>
        <w:t>or</w:t>
      </w:r>
      <w:r>
        <w:t xml:space="preserve"> D are valid options) </w:t>
      </w:r>
      <w:r w:rsidRPr="00F135BF">
        <w:rPr>
          <w:u w:val="single"/>
        </w:rPr>
        <w:t>you should not print the score,</w:t>
      </w:r>
      <w:r>
        <w:t xml:space="preserve"> as the automatic printing can only mark “and” conditions (e.g., both A and D must be marked tor receive points). The scoring system (where reports come from) can distinguish between both – only the automatic printing feature falls short here. </w:t>
      </w:r>
    </w:p>
    <w:p w:rsidR="003F5D98" w:rsidRDefault="003F5D98" w:rsidP="00EB70B6">
      <w:pPr>
        <w:ind w:left="360"/>
      </w:pPr>
    </w:p>
    <w:p w:rsidR="003F5D98" w:rsidRDefault="003F5D98" w:rsidP="00EB70B6">
      <w:pPr>
        <w:ind w:left="360"/>
      </w:pPr>
    </w:p>
    <w:p w:rsidR="003F5D98" w:rsidRDefault="003F5D98" w:rsidP="003F5D98">
      <w:pPr>
        <w:rPr>
          <w:b/>
        </w:rPr>
      </w:pPr>
      <w:r>
        <w:rPr>
          <w:b/>
        </w:rPr>
        <w:lastRenderedPageBreak/>
        <w:t xml:space="preserve">Two important points about student completion of the </w:t>
      </w:r>
      <w:proofErr w:type="spellStart"/>
      <w:r>
        <w:rPr>
          <w:b/>
        </w:rPr>
        <w:t>Scantron</w:t>
      </w:r>
      <w:proofErr w:type="spellEnd"/>
      <w:r>
        <w:rPr>
          <w:b/>
        </w:rPr>
        <w:t xml:space="preserve"> forms…</w:t>
      </w:r>
    </w:p>
    <w:p w:rsidR="003F5D98" w:rsidRDefault="003F5D98" w:rsidP="003F5D98">
      <w:pPr>
        <w:pStyle w:val="ListParagraph"/>
        <w:numPr>
          <w:ilvl w:val="0"/>
          <w:numId w:val="3"/>
        </w:numPr>
        <w:spacing w:line="256" w:lineRule="auto"/>
      </w:pPr>
      <w:r>
        <w:t xml:space="preserve">Students </w:t>
      </w:r>
      <w:r>
        <w:rPr>
          <w:u w:val="single"/>
        </w:rPr>
        <w:t>must</w:t>
      </w:r>
      <w:r>
        <w:t xml:space="preserve"> enter/fill their name, in text and bubbles, in the Last First MI format. </w:t>
      </w:r>
      <w:r>
        <w:rPr>
          <w:i/>
          <w:u w:val="single"/>
        </w:rPr>
        <w:t>Spaces between names should be filled using the space bubble</w:t>
      </w:r>
      <w:r>
        <w:t xml:space="preserve">. Otherwise someone named </w:t>
      </w:r>
      <w:proofErr w:type="spellStart"/>
      <w:r>
        <w:t>Rizonkish</w:t>
      </w:r>
      <w:proofErr w:type="spellEnd"/>
      <w:r>
        <w:t xml:space="preserve"> </w:t>
      </w:r>
      <w:proofErr w:type="spellStart"/>
      <w:r>
        <w:t>Belozi</w:t>
      </w:r>
      <w:proofErr w:type="spellEnd"/>
      <w:r>
        <w:t xml:space="preserve"> K would display as RIZONKISHBELOZIK. </w:t>
      </w:r>
      <w:r>
        <w:br/>
      </w:r>
    </w:p>
    <w:p w:rsidR="003F5D98" w:rsidRDefault="003F5D98" w:rsidP="003F5D98">
      <w:pPr>
        <w:pStyle w:val="ListParagraph"/>
        <w:numPr>
          <w:ilvl w:val="0"/>
          <w:numId w:val="3"/>
        </w:numPr>
        <w:spacing w:line="256" w:lineRule="auto"/>
      </w:pPr>
      <w:r>
        <w:t xml:space="preserve">Students </w:t>
      </w:r>
      <w:r>
        <w:rPr>
          <w:u w:val="single"/>
        </w:rPr>
        <w:t>must</w:t>
      </w:r>
      <w:r>
        <w:t xml:space="preserve"> enter/fill their 9 digit student ID. Column J would be the only one left blank here.</w:t>
      </w:r>
    </w:p>
    <w:p w:rsidR="003F5D98" w:rsidRDefault="003F5D98" w:rsidP="003F5D98"/>
    <w:p w:rsidR="003F5D98" w:rsidRDefault="003F5D98" w:rsidP="003F5D98">
      <w:pPr>
        <w:rPr>
          <w:b/>
        </w:rPr>
      </w:pPr>
      <w:r>
        <w:rPr>
          <w:b/>
        </w:rPr>
        <w:t>Faculty can use the special code field for whatever they want (e.g., test packet number, seat number, etc.).</w:t>
      </w:r>
    </w:p>
    <w:p w:rsidR="003F5D98" w:rsidRDefault="003F5D98" w:rsidP="003F5D98">
      <w:pPr>
        <w:rPr>
          <w:b/>
        </w:rPr>
      </w:pPr>
      <w:r>
        <w:rPr>
          <w:b/>
        </w:rPr>
        <w:t xml:space="preserve">The remaining fields to the left of the thick vertical line is not needed, and not captured by our data collection process. </w:t>
      </w:r>
    </w:p>
    <w:p w:rsidR="003F5D98" w:rsidRDefault="003F5D98" w:rsidP="003F5D98">
      <w:r>
        <w:t xml:space="preserve">When you collect the bubble sheets and answer keys, complete the attached form for us to set up the scanning process. There is no need to alphabetically sort the sheets or do anything special with them other than provide the Key and sheets that match the key. The reports will sort students by last name. </w:t>
      </w:r>
    </w:p>
    <w:p w:rsidR="003F5D98" w:rsidRDefault="003F5D98" w:rsidP="00EB70B6">
      <w:pPr>
        <w:ind w:left="360"/>
      </w:pPr>
      <w:bookmarkStart w:id="0" w:name="_GoBack"/>
      <w:bookmarkEnd w:id="0"/>
    </w:p>
    <w:sectPr w:rsidR="003F5D98" w:rsidSect="0011256C">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227D7"/>
    <w:multiLevelType w:val="hybridMultilevel"/>
    <w:tmpl w:val="193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A68F8"/>
    <w:multiLevelType w:val="hybridMultilevel"/>
    <w:tmpl w:val="6520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3C671E"/>
    <w:multiLevelType w:val="hybridMultilevel"/>
    <w:tmpl w:val="7BFE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9"/>
    <w:rsid w:val="0001045F"/>
    <w:rsid w:val="0011256C"/>
    <w:rsid w:val="00355425"/>
    <w:rsid w:val="003F5D98"/>
    <w:rsid w:val="004F0FF1"/>
    <w:rsid w:val="005707E9"/>
    <w:rsid w:val="007F0F51"/>
    <w:rsid w:val="00A163A3"/>
    <w:rsid w:val="00A746EE"/>
    <w:rsid w:val="00DE6B39"/>
    <w:rsid w:val="00EB70B6"/>
    <w:rsid w:val="00F1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96219-6F7A-4DBD-AA2F-497D732B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9"/>
    <w:pPr>
      <w:ind w:left="720"/>
      <w:contextualSpacing/>
    </w:pPr>
  </w:style>
  <w:style w:type="table" w:styleId="TableGrid">
    <w:name w:val="Table Grid"/>
    <w:basedOn w:val="TableNormal"/>
    <w:uiPriority w:val="39"/>
    <w:rsid w:val="0057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6C"/>
    <w:rPr>
      <w:rFonts w:ascii="Segoe UI" w:hAnsi="Segoe UI" w:cs="Segoe UI"/>
      <w:sz w:val="18"/>
      <w:szCs w:val="18"/>
    </w:rPr>
  </w:style>
  <w:style w:type="character" w:styleId="Hyperlink">
    <w:name w:val="Hyperlink"/>
    <w:basedOn w:val="DefaultParagraphFont"/>
    <w:uiPriority w:val="99"/>
    <w:unhideWhenUsed/>
    <w:rsid w:val="007F0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Courtney E. Hamilton</cp:lastModifiedBy>
  <cp:revision>4</cp:revision>
  <cp:lastPrinted>2014-06-23T21:16:00Z</cp:lastPrinted>
  <dcterms:created xsi:type="dcterms:W3CDTF">2014-06-23T20:15:00Z</dcterms:created>
  <dcterms:modified xsi:type="dcterms:W3CDTF">2016-01-06T15:12:00Z</dcterms:modified>
</cp:coreProperties>
</file>